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775" w:rsidRPr="00F535E6" w:rsidRDefault="00F535E6" w:rsidP="00F535E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535E6">
        <w:rPr>
          <w:b/>
          <w:sz w:val="28"/>
          <w:szCs w:val="28"/>
        </w:rPr>
        <w:t>兒童及少年福利與權益保障法</w:t>
      </w:r>
      <w:r w:rsidRPr="00F535E6">
        <w:rPr>
          <w:rFonts w:asciiTheme="minorEastAsia" w:hAnsiTheme="minorEastAsia" w:hint="eastAsia"/>
          <w:b/>
          <w:sz w:val="28"/>
          <w:szCs w:val="28"/>
        </w:rPr>
        <w:t>（節錄）</w:t>
      </w:r>
    </w:p>
    <w:p w:rsidR="00F535E6" w:rsidRPr="00F535E6" w:rsidRDefault="00F535E6">
      <w:pPr>
        <w:rPr>
          <w:b/>
          <w:sz w:val="28"/>
          <w:szCs w:val="28"/>
        </w:rPr>
      </w:pPr>
      <w:r w:rsidRPr="00F535E6">
        <w:rPr>
          <w:rFonts w:hint="eastAsia"/>
          <w:b/>
          <w:sz w:val="28"/>
          <w:szCs w:val="28"/>
        </w:rPr>
        <w:t>第</w:t>
      </w:r>
      <w:r w:rsidRPr="00F535E6">
        <w:rPr>
          <w:rFonts w:hint="eastAsia"/>
          <w:b/>
          <w:sz w:val="28"/>
          <w:szCs w:val="28"/>
        </w:rPr>
        <w:t>43</w:t>
      </w:r>
      <w:r w:rsidRPr="00F535E6">
        <w:rPr>
          <w:rFonts w:hint="eastAsia"/>
          <w:b/>
          <w:sz w:val="28"/>
          <w:szCs w:val="28"/>
        </w:rPr>
        <w:t>條</w:t>
      </w:r>
    </w:p>
    <w:p w:rsidR="00F535E6" w:rsidRPr="00F535E6" w:rsidRDefault="00F535E6" w:rsidP="00F535E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細明體" w:eastAsia="細明體" w:hAnsi="細明體" w:cs="細明體"/>
          <w:color w:val="000000"/>
          <w:kern w:val="0"/>
          <w:szCs w:val="24"/>
        </w:rPr>
      </w:pPr>
      <w:r w:rsidRPr="00F535E6">
        <w:rPr>
          <w:rFonts w:ascii="細明體" w:eastAsia="細明體" w:hAnsi="細明體" w:cs="細明體" w:hint="eastAsia"/>
          <w:color w:val="000000"/>
          <w:kern w:val="0"/>
          <w:szCs w:val="24"/>
        </w:rPr>
        <w:t>兒童及少年不得為下列行為：</w:t>
      </w:r>
    </w:p>
    <w:p w:rsidR="00F535E6" w:rsidRPr="00F535E6" w:rsidRDefault="00F535E6" w:rsidP="00F535E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細明體" w:eastAsia="細明體" w:hAnsi="細明體" w:cs="細明體"/>
          <w:color w:val="000000"/>
          <w:kern w:val="0"/>
          <w:szCs w:val="24"/>
        </w:rPr>
      </w:pPr>
      <w:r w:rsidRPr="00F535E6">
        <w:rPr>
          <w:rFonts w:ascii="細明體" w:eastAsia="細明體" w:hAnsi="細明體" w:cs="細明體" w:hint="eastAsia"/>
          <w:color w:val="000000"/>
          <w:kern w:val="0"/>
          <w:szCs w:val="24"/>
        </w:rPr>
        <w:t>一、吸菸、飲酒、嚼檳榔。</w:t>
      </w:r>
    </w:p>
    <w:p w:rsidR="00F535E6" w:rsidRPr="00F535E6" w:rsidRDefault="00F535E6" w:rsidP="00F535E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細明體" w:eastAsia="細明體" w:hAnsi="細明體" w:cs="細明體"/>
          <w:color w:val="000000"/>
          <w:kern w:val="0"/>
          <w:szCs w:val="24"/>
        </w:rPr>
      </w:pPr>
      <w:r w:rsidRPr="00F535E6">
        <w:rPr>
          <w:rFonts w:ascii="細明體" w:eastAsia="細明體" w:hAnsi="細明體" w:cs="細明體" w:hint="eastAsia"/>
          <w:color w:val="000000"/>
          <w:kern w:val="0"/>
          <w:szCs w:val="24"/>
        </w:rPr>
        <w:t>二、施用毒品、非法施用管制藥品或其他有害身心健康之物質。</w:t>
      </w:r>
    </w:p>
    <w:p w:rsidR="00F535E6" w:rsidRPr="00F535E6" w:rsidRDefault="00F535E6" w:rsidP="00F535E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細明體" w:eastAsia="細明體" w:hAnsi="細明體" w:cs="細明體"/>
          <w:color w:val="000000"/>
          <w:kern w:val="0"/>
          <w:szCs w:val="24"/>
        </w:rPr>
      </w:pPr>
      <w:r w:rsidRPr="00F535E6">
        <w:rPr>
          <w:rFonts w:ascii="細明體" w:eastAsia="細明體" w:hAnsi="細明體" w:cs="細明體" w:hint="eastAsia"/>
          <w:color w:val="000000"/>
          <w:kern w:val="0"/>
          <w:szCs w:val="24"/>
        </w:rPr>
        <w:t>三、觀看、閱覽、收聽或使用有害其身心健康之暴力、血腥、色情、猥褻</w:t>
      </w:r>
    </w:p>
    <w:p w:rsidR="00F535E6" w:rsidRPr="00F535E6" w:rsidRDefault="00F535E6" w:rsidP="00F535E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細明體" w:eastAsia="細明體" w:hAnsi="細明體" w:cs="細明體"/>
          <w:color w:val="000000"/>
          <w:kern w:val="0"/>
          <w:szCs w:val="24"/>
        </w:rPr>
      </w:pPr>
      <w:r w:rsidRPr="00F535E6">
        <w:rPr>
          <w:rFonts w:ascii="細明體" w:eastAsia="細明體" w:hAnsi="細明體" w:cs="細明體" w:hint="eastAsia"/>
          <w:color w:val="000000"/>
          <w:kern w:val="0"/>
          <w:szCs w:val="24"/>
        </w:rPr>
        <w:t xml:space="preserve">    、賭博之出版品、圖畫、錄影節目帶、影片、光碟、磁片、電子訊號</w:t>
      </w:r>
    </w:p>
    <w:p w:rsidR="00F535E6" w:rsidRPr="00F535E6" w:rsidRDefault="00F535E6" w:rsidP="00F535E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細明體" w:eastAsia="細明體" w:hAnsi="細明體" w:cs="細明體"/>
          <w:color w:val="000000"/>
          <w:kern w:val="0"/>
          <w:szCs w:val="24"/>
        </w:rPr>
      </w:pPr>
      <w:r w:rsidRPr="00F535E6">
        <w:rPr>
          <w:rFonts w:ascii="細明體" w:eastAsia="細明體" w:hAnsi="細明體" w:cs="細明體" w:hint="eastAsia"/>
          <w:color w:val="000000"/>
          <w:kern w:val="0"/>
          <w:szCs w:val="24"/>
        </w:rPr>
        <w:t xml:space="preserve">    、遊戲軟體、網際網路內容或其他物品。</w:t>
      </w:r>
    </w:p>
    <w:p w:rsidR="00F535E6" w:rsidRPr="00F535E6" w:rsidRDefault="00F535E6" w:rsidP="00F535E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細明體" w:eastAsia="細明體" w:hAnsi="細明體" w:cs="細明體"/>
          <w:color w:val="000000"/>
          <w:kern w:val="0"/>
          <w:szCs w:val="24"/>
        </w:rPr>
      </w:pPr>
      <w:r w:rsidRPr="00F535E6">
        <w:rPr>
          <w:rFonts w:ascii="細明體" w:eastAsia="細明體" w:hAnsi="細明體" w:cs="細明體" w:hint="eastAsia"/>
          <w:color w:val="000000"/>
          <w:kern w:val="0"/>
          <w:szCs w:val="24"/>
        </w:rPr>
        <w:t>四、在道路上競駛、競技或以蛇行等危險方式駕車或參與其行為。</w:t>
      </w:r>
    </w:p>
    <w:p w:rsidR="00F535E6" w:rsidRPr="00F535E6" w:rsidRDefault="00F535E6" w:rsidP="00F535E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細明體" w:eastAsia="細明體" w:hAnsi="細明體" w:cs="細明體"/>
          <w:color w:val="000000"/>
          <w:kern w:val="0"/>
          <w:szCs w:val="24"/>
        </w:rPr>
      </w:pPr>
      <w:r w:rsidRPr="00F535E6">
        <w:rPr>
          <w:rFonts w:ascii="細明體" w:eastAsia="細明體" w:hAnsi="細明體" w:cs="細明體" w:hint="eastAsia"/>
          <w:color w:val="000000"/>
          <w:kern w:val="0"/>
          <w:szCs w:val="24"/>
        </w:rPr>
        <w:t>五、超過合理時間持續使用電子類產品，致有害身心健康。</w:t>
      </w:r>
    </w:p>
    <w:p w:rsidR="00F535E6" w:rsidRPr="00F535E6" w:rsidRDefault="00F535E6" w:rsidP="00F535E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細明體" w:eastAsia="細明體" w:hAnsi="細明體" w:cs="細明體"/>
          <w:color w:val="000000"/>
          <w:kern w:val="0"/>
          <w:szCs w:val="24"/>
        </w:rPr>
      </w:pPr>
      <w:r w:rsidRPr="00F535E6">
        <w:rPr>
          <w:rFonts w:ascii="細明體" w:eastAsia="細明體" w:hAnsi="細明體" w:cs="細明體" w:hint="eastAsia"/>
          <w:color w:val="000000"/>
          <w:kern w:val="0"/>
          <w:szCs w:val="24"/>
        </w:rPr>
        <w:t>父母、監護人或其他實際照顧兒童及少年之人，應禁止兒童及少年為前項</w:t>
      </w:r>
    </w:p>
    <w:p w:rsidR="00F535E6" w:rsidRPr="00F535E6" w:rsidRDefault="00F535E6" w:rsidP="00F535E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細明體" w:eastAsia="細明體" w:hAnsi="細明體" w:cs="細明體"/>
          <w:color w:val="000000"/>
          <w:kern w:val="0"/>
          <w:szCs w:val="24"/>
        </w:rPr>
      </w:pPr>
      <w:r w:rsidRPr="00F535E6">
        <w:rPr>
          <w:rFonts w:ascii="細明體" w:eastAsia="細明體" w:hAnsi="細明體" w:cs="細明體" w:hint="eastAsia"/>
          <w:color w:val="000000"/>
          <w:kern w:val="0"/>
          <w:szCs w:val="24"/>
        </w:rPr>
        <w:t>各款行為。</w:t>
      </w:r>
    </w:p>
    <w:p w:rsidR="00F535E6" w:rsidRPr="00F535E6" w:rsidRDefault="00F535E6" w:rsidP="00F535E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細明體" w:eastAsia="細明體" w:hAnsi="細明體" w:cs="細明體"/>
          <w:color w:val="000000"/>
          <w:kern w:val="0"/>
          <w:szCs w:val="24"/>
        </w:rPr>
      </w:pPr>
      <w:r w:rsidRPr="00F535E6">
        <w:rPr>
          <w:rFonts w:ascii="細明體" w:eastAsia="細明體" w:hAnsi="細明體" w:cs="細明體" w:hint="eastAsia"/>
          <w:color w:val="000000"/>
          <w:kern w:val="0"/>
          <w:szCs w:val="24"/>
        </w:rPr>
        <w:t>任何人均不得供應第一項第一款至第三款之物質、物品予兒童及少年。</w:t>
      </w:r>
    </w:p>
    <w:p w:rsidR="00F535E6" w:rsidRPr="00F535E6" w:rsidRDefault="00F535E6" w:rsidP="00F535E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細明體" w:eastAsia="細明體" w:hAnsi="細明體" w:cs="細明體"/>
          <w:color w:val="000000"/>
          <w:kern w:val="0"/>
          <w:szCs w:val="24"/>
        </w:rPr>
      </w:pPr>
      <w:r w:rsidRPr="00F535E6">
        <w:rPr>
          <w:rFonts w:ascii="細明體" w:eastAsia="細明體" w:hAnsi="細明體" w:cs="細明體" w:hint="eastAsia"/>
          <w:color w:val="000000"/>
          <w:kern w:val="0"/>
          <w:szCs w:val="24"/>
        </w:rPr>
        <w:t>任何人均不得對兒童及少年散布或播送第一項第三款之內容或物品。</w:t>
      </w:r>
    </w:p>
    <w:p w:rsidR="00F535E6" w:rsidRDefault="00F535E6"/>
    <w:p w:rsidR="00F535E6" w:rsidRPr="00F535E6" w:rsidRDefault="00F535E6" w:rsidP="00F535E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細明體" w:eastAsia="細明體" w:hAnsi="細明體" w:cs="細明體"/>
          <w:color w:val="000000"/>
          <w:kern w:val="0"/>
          <w:szCs w:val="24"/>
        </w:rPr>
      </w:pPr>
      <w:r w:rsidRPr="00F535E6">
        <w:rPr>
          <w:rFonts w:eastAsia="細明體" w:cs="細明體"/>
          <w:b/>
          <w:color w:val="000000"/>
          <w:kern w:val="0"/>
          <w:sz w:val="28"/>
          <w:szCs w:val="28"/>
        </w:rPr>
        <w:t>第</w:t>
      </w:r>
      <w:r w:rsidRPr="00F535E6">
        <w:rPr>
          <w:rFonts w:eastAsia="細明體" w:cs="細明體"/>
          <w:b/>
          <w:color w:val="000000"/>
          <w:kern w:val="0"/>
          <w:sz w:val="28"/>
          <w:szCs w:val="28"/>
        </w:rPr>
        <w:t>91</w:t>
      </w:r>
      <w:r w:rsidRPr="00F535E6">
        <w:rPr>
          <w:rFonts w:eastAsia="細明體" w:cs="細明體"/>
          <w:b/>
          <w:color w:val="000000"/>
          <w:kern w:val="0"/>
          <w:sz w:val="28"/>
          <w:szCs w:val="28"/>
        </w:rPr>
        <w:t>條</w:t>
      </w:r>
      <w:r w:rsidRPr="00F535E6">
        <w:rPr>
          <w:rFonts w:ascii="細明體" w:eastAsia="細明體" w:hAnsi="細明體" w:cs="細明體" w:hint="eastAsia"/>
          <w:color w:val="000000"/>
          <w:kern w:val="0"/>
          <w:sz w:val="23"/>
          <w:szCs w:val="23"/>
        </w:rPr>
        <w:br/>
      </w:r>
      <w:r w:rsidRPr="00F535E6">
        <w:rPr>
          <w:rFonts w:ascii="細明體" w:eastAsia="細明體" w:hAnsi="細明體" w:cs="細明體" w:hint="eastAsia"/>
          <w:color w:val="000000"/>
          <w:kern w:val="0"/>
          <w:szCs w:val="24"/>
        </w:rPr>
        <w:t>父母、監護人或其他實際照顧兒童及少年之人，違反第四十三條第二項規</w:t>
      </w:r>
    </w:p>
    <w:p w:rsidR="00F535E6" w:rsidRPr="00F535E6" w:rsidRDefault="00F535E6" w:rsidP="00F535E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細明體" w:eastAsia="細明體" w:hAnsi="細明體" w:cs="細明體"/>
          <w:color w:val="000000"/>
          <w:kern w:val="0"/>
          <w:szCs w:val="24"/>
        </w:rPr>
      </w:pPr>
      <w:r w:rsidRPr="00F535E6">
        <w:rPr>
          <w:rFonts w:ascii="細明體" w:eastAsia="細明體" w:hAnsi="細明體" w:cs="細明體" w:hint="eastAsia"/>
          <w:color w:val="000000"/>
          <w:kern w:val="0"/>
          <w:szCs w:val="24"/>
        </w:rPr>
        <w:t>定，情節嚴重者，處新臺幣一萬元以上五萬元以下罰鍰。</w:t>
      </w:r>
    </w:p>
    <w:p w:rsidR="00F535E6" w:rsidRPr="00F535E6" w:rsidRDefault="00F535E6" w:rsidP="00F535E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細明體" w:eastAsia="細明體" w:hAnsi="細明體" w:cs="細明體"/>
          <w:color w:val="000000"/>
          <w:kern w:val="0"/>
          <w:szCs w:val="24"/>
        </w:rPr>
      </w:pPr>
      <w:r w:rsidRPr="00F535E6">
        <w:rPr>
          <w:rFonts w:ascii="細明體" w:eastAsia="細明體" w:hAnsi="細明體" w:cs="細明體" w:hint="eastAsia"/>
          <w:color w:val="000000"/>
          <w:kern w:val="0"/>
          <w:szCs w:val="24"/>
        </w:rPr>
        <w:t>供應酒或檳榔予兒童及少年者，處新臺幣一萬元以上五萬元以下罰鍰。</w:t>
      </w:r>
    </w:p>
    <w:p w:rsidR="00F535E6" w:rsidRPr="00F535E6" w:rsidRDefault="00F535E6" w:rsidP="00F535E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細明體" w:eastAsia="細明體" w:hAnsi="細明體" w:cs="細明體"/>
          <w:color w:val="000000"/>
          <w:kern w:val="0"/>
          <w:szCs w:val="24"/>
        </w:rPr>
      </w:pPr>
      <w:r w:rsidRPr="00F535E6">
        <w:rPr>
          <w:rFonts w:ascii="細明體" w:eastAsia="細明體" w:hAnsi="細明體" w:cs="細明體" w:hint="eastAsia"/>
          <w:color w:val="000000"/>
          <w:kern w:val="0"/>
          <w:szCs w:val="24"/>
        </w:rPr>
        <w:t>供應毒品、非法供應管制藥品或其他有害身心健康之物質予兒童及少年者</w:t>
      </w:r>
    </w:p>
    <w:p w:rsidR="00F535E6" w:rsidRPr="00F535E6" w:rsidRDefault="00F535E6" w:rsidP="00F535E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細明體" w:eastAsia="細明體" w:hAnsi="細明體" w:cs="細明體"/>
          <w:color w:val="000000"/>
          <w:kern w:val="0"/>
          <w:szCs w:val="24"/>
        </w:rPr>
      </w:pPr>
      <w:r w:rsidRPr="00F535E6">
        <w:rPr>
          <w:rFonts w:ascii="細明體" w:eastAsia="細明體" w:hAnsi="細明體" w:cs="細明體" w:hint="eastAsia"/>
          <w:color w:val="000000"/>
          <w:kern w:val="0"/>
          <w:szCs w:val="24"/>
        </w:rPr>
        <w:t>，處新臺幣六萬元以上三十萬元以下罰鍰。</w:t>
      </w:r>
    </w:p>
    <w:p w:rsidR="00F535E6" w:rsidRPr="00F535E6" w:rsidRDefault="00F535E6" w:rsidP="00F535E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細明體" w:eastAsia="細明體" w:hAnsi="細明體" w:cs="細明體"/>
          <w:color w:val="000000"/>
          <w:kern w:val="0"/>
          <w:szCs w:val="24"/>
        </w:rPr>
      </w:pPr>
      <w:r w:rsidRPr="00F535E6">
        <w:rPr>
          <w:rFonts w:ascii="細明體" w:eastAsia="細明體" w:hAnsi="細明體" w:cs="細明體" w:hint="eastAsia"/>
          <w:color w:val="000000"/>
          <w:kern w:val="0"/>
          <w:szCs w:val="24"/>
        </w:rPr>
        <w:t>供應有關暴力、血腥、色情或猥褻出版品、圖畫、錄影節目帶、影片、光</w:t>
      </w:r>
    </w:p>
    <w:p w:rsidR="00F535E6" w:rsidRPr="00F535E6" w:rsidRDefault="00F535E6" w:rsidP="00F535E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細明體" w:eastAsia="細明體" w:hAnsi="細明體" w:cs="細明體"/>
          <w:color w:val="000000"/>
          <w:kern w:val="0"/>
          <w:szCs w:val="24"/>
        </w:rPr>
      </w:pPr>
      <w:r w:rsidRPr="00F535E6">
        <w:rPr>
          <w:rFonts w:ascii="細明體" w:eastAsia="細明體" w:hAnsi="細明體" w:cs="細明體" w:hint="eastAsia"/>
          <w:color w:val="000000"/>
          <w:kern w:val="0"/>
          <w:szCs w:val="24"/>
        </w:rPr>
        <w:t>碟、電子訊號、遊戲軟體或其他物品予兒童及少年者，處新臺幣二萬元以</w:t>
      </w:r>
    </w:p>
    <w:p w:rsidR="00F535E6" w:rsidRPr="00F535E6" w:rsidRDefault="00F535E6" w:rsidP="00F535E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細明體" w:eastAsia="細明體" w:hAnsi="細明體" w:cs="細明體"/>
          <w:color w:val="000000"/>
          <w:kern w:val="0"/>
          <w:szCs w:val="24"/>
        </w:rPr>
      </w:pPr>
      <w:r w:rsidRPr="00F535E6">
        <w:rPr>
          <w:rFonts w:ascii="細明體" w:eastAsia="細明體" w:hAnsi="細明體" w:cs="細明體" w:hint="eastAsia"/>
          <w:color w:val="000000"/>
          <w:kern w:val="0"/>
          <w:szCs w:val="24"/>
        </w:rPr>
        <w:t>上十萬元以下罰鍰。</w:t>
      </w:r>
    </w:p>
    <w:p w:rsidR="00F535E6" w:rsidRPr="00F535E6" w:rsidRDefault="00F535E6" w:rsidP="00F535E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細明體" w:eastAsia="細明體" w:hAnsi="細明體" w:cs="細明體"/>
          <w:color w:val="000000"/>
          <w:kern w:val="0"/>
          <w:szCs w:val="24"/>
        </w:rPr>
      </w:pPr>
      <w:r w:rsidRPr="00F535E6">
        <w:rPr>
          <w:rFonts w:ascii="細明體" w:eastAsia="細明體" w:hAnsi="細明體" w:cs="細明體" w:hint="eastAsia"/>
          <w:color w:val="000000"/>
          <w:kern w:val="0"/>
          <w:szCs w:val="24"/>
        </w:rPr>
        <w:t>違反第四十三條第四項規定者，除新聞紙依第四十五條及第九十三條規定</w:t>
      </w:r>
    </w:p>
    <w:p w:rsidR="00F535E6" w:rsidRPr="00F535E6" w:rsidRDefault="00F535E6" w:rsidP="00F535E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細明體" w:eastAsia="細明體" w:hAnsi="細明體" w:cs="細明體"/>
          <w:color w:val="000000"/>
          <w:kern w:val="0"/>
          <w:szCs w:val="24"/>
        </w:rPr>
      </w:pPr>
      <w:r w:rsidRPr="00F535E6">
        <w:rPr>
          <w:rFonts w:ascii="細明體" w:eastAsia="細明體" w:hAnsi="細明體" w:cs="細明體" w:hint="eastAsia"/>
          <w:color w:val="000000"/>
          <w:kern w:val="0"/>
          <w:szCs w:val="24"/>
        </w:rPr>
        <w:t>辦理外，處新臺幣五萬元以上二十五萬元以下罰鍰，並公布其姓名或名稱</w:t>
      </w:r>
    </w:p>
    <w:p w:rsidR="00F535E6" w:rsidRPr="00F535E6" w:rsidRDefault="00F535E6" w:rsidP="00F535E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細明體" w:eastAsia="細明體" w:hAnsi="細明體" w:cs="細明體"/>
          <w:color w:val="000000"/>
          <w:kern w:val="0"/>
          <w:szCs w:val="24"/>
        </w:rPr>
      </w:pPr>
      <w:r w:rsidRPr="00F535E6">
        <w:rPr>
          <w:rFonts w:ascii="細明體" w:eastAsia="細明體" w:hAnsi="細明體" w:cs="細明體" w:hint="eastAsia"/>
          <w:color w:val="000000"/>
          <w:kern w:val="0"/>
          <w:szCs w:val="24"/>
        </w:rPr>
        <w:t>及命其限期改善；屆期未改善者，得按次處罰；情節嚴重者，並得由主管</w:t>
      </w:r>
    </w:p>
    <w:p w:rsidR="00F535E6" w:rsidRPr="00F535E6" w:rsidRDefault="00F535E6" w:rsidP="00F535E6">
      <w:pPr>
        <w:rPr>
          <w:szCs w:val="24"/>
        </w:rPr>
      </w:pPr>
      <w:r w:rsidRPr="00F535E6">
        <w:rPr>
          <w:rFonts w:ascii="細明體" w:eastAsia="細明體" w:hAnsi="細明體" w:cs="細明體" w:hint="eastAsia"/>
          <w:color w:val="000000"/>
          <w:kern w:val="0"/>
          <w:szCs w:val="24"/>
        </w:rPr>
        <w:t>機關移請目的事業主管機關勒令停業一個月以上一年以下。</w:t>
      </w:r>
    </w:p>
    <w:sectPr w:rsidR="00F535E6" w:rsidRPr="00F535E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5E6"/>
    <w:rsid w:val="00460775"/>
    <w:rsid w:val="005462DD"/>
    <w:rsid w:val="00F5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B6C4F9-8B44-49B8-925C-760B59C16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535E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F535E6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彭韶竹</dc:creator>
  <cp:keywords/>
  <dc:description/>
  <cp:lastModifiedBy>20120628A3</cp:lastModifiedBy>
  <cp:revision>2</cp:revision>
  <dcterms:created xsi:type="dcterms:W3CDTF">2017-01-05T06:47:00Z</dcterms:created>
  <dcterms:modified xsi:type="dcterms:W3CDTF">2017-01-05T06:47:00Z</dcterms:modified>
</cp:coreProperties>
</file>