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標楷體" w:hAnsi="標楷體" w:eastAsia="標楷體"/>
          <w:b/>
          <w:b/>
          <w:color w:val="000000"/>
          <w:sz w:val="36"/>
          <w:szCs w:val="36"/>
        </w:rPr>
      </w:pPr>
      <w:r>
        <w:rPr>
          <w:rFonts w:ascii="標楷體" w:hAnsi="標楷體" w:eastAsia="標楷體"/>
          <w:b/>
          <w:color w:val="000000"/>
          <w:sz w:val="36"/>
          <w:szCs w:val="36"/>
        </w:rPr>
        <w:t xml:space="preserve"> </w:t>
      </w:r>
      <w:r>
        <w:rPr>
          <w:rFonts w:ascii="標楷體" w:hAnsi="標楷體" w:eastAsia="標楷體"/>
          <w:b/>
          <w:color w:val="000000"/>
          <w:sz w:val="36"/>
          <w:szCs w:val="36"/>
        </w:rPr>
        <w:t>學校型態實驗教育實施條例施行細則修正條文</w:t>
      </w:r>
    </w:p>
    <w:p>
      <w:pPr>
        <w:pStyle w:val="Style20"/>
        <w:widowControl w:val="false"/>
        <w:numPr>
          <w:ilvl w:val="0"/>
          <w:numId w:val="1"/>
        </w:numPr>
        <w:tabs>
          <w:tab w:val="left" w:pos="0" w:leader="none"/>
        </w:tabs>
        <w:suppressAutoHyphens w:val="true"/>
        <w:spacing w:lineRule="exact" w:line="480"/>
        <w:ind w:left="990" w:right="0" w:hanging="480"/>
        <w:rPr/>
      </w:pPr>
      <w:r>
        <w:rPr>
          <w:rStyle w:val="Style14"/>
          <w:rFonts w:ascii="標楷體" w:hAnsi="標楷體" w:eastAsia="標楷體"/>
          <w:sz w:val="26"/>
          <w:szCs w:val="26"/>
        </w:rPr>
        <w:t xml:space="preserve">   </w:t>
      </w:r>
      <w:r>
        <w:rPr>
          <w:rStyle w:val="Style14"/>
          <w:rFonts w:ascii="標楷體" w:hAnsi="標楷體" w:eastAsia="標楷體"/>
          <w:sz w:val="28"/>
          <w:szCs w:val="28"/>
        </w:rPr>
        <w:t xml:space="preserve"> </w:t>
      </w:r>
      <w:r>
        <w:rPr>
          <w:rStyle w:val="Style14"/>
          <w:rFonts w:ascii="標楷體" w:hAnsi="標楷體" w:eastAsia="標楷體"/>
          <w:sz w:val="28"/>
          <w:szCs w:val="28"/>
        </w:rPr>
        <w:t>本細則依學校型態實驗教育實施條例（以下簡稱本條例）第二十七條規定訂定之。</w:t>
      </w:r>
    </w:p>
    <w:p>
      <w:pPr>
        <w:pStyle w:val="Style20"/>
        <w:widowControl w:val="false"/>
        <w:numPr>
          <w:ilvl w:val="0"/>
          <w:numId w:val="1"/>
        </w:numPr>
        <w:tabs>
          <w:tab w:val="left" w:pos="0" w:leader="none"/>
        </w:tabs>
        <w:suppressAutoHyphens w:val="true"/>
        <w:spacing w:lineRule="exact" w:line="480"/>
        <w:ind w:left="1047" w:right="0" w:hanging="480"/>
        <w:rPr/>
      </w:pPr>
      <w:r>
        <w:rPr>
          <w:rStyle w:val="Style14"/>
          <w:rFonts w:ascii="標楷體" w:hAnsi="標楷體" w:eastAsia="標楷體"/>
          <w:color w:val="000000"/>
          <w:sz w:val="28"/>
          <w:szCs w:val="28"/>
        </w:rPr>
        <w:t xml:space="preserve">    </w:t>
      </w:r>
      <w:r>
        <w:rPr>
          <w:rStyle w:val="Style14"/>
          <w:rFonts w:ascii="標楷體" w:hAnsi="標楷體" w:eastAsia="標楷體"/>
          <w:color w:val="000000"/>
          <w:sz w:val="28"/>
          <w:szCs w:val="28"/>
        </w:rPr>
        <w:t>本條例第二條第二項所稱主管機關，指私立實驗教育學校之學校主管機關。</w:t>
      </w:r>
    </w:p>
    <w:p>
      <w:pPr>
        <w:pStyle w:val="Style20"/>
        <w:widowControl w:val="false"/>
        <w:numPr>
          <w:ilvl w:val="0"/>
          <w:numId w:val="1"/>
        </w:numPr>
        <w:tabs>
          <w:tab w:val="left" w:pos="0" w:leader="none"/>
        </w:tabs>
        <w:suppressAutoHyphens w:val="true"/>
        <w:spacing w:lineRule="exact" w:line="480"/>
        <w:ind w:left="934" w:right="0" w:hanging="480"/>
        <w:rPr/>
      </w:pPr>
      <w:r>
        <w:rPr>
          <w:rStyle w:val="Style14"/>
          <w:rFonts w:ascii="標楷體" w:hAnsi="標楷體" w:eastAsia="標楷體"/>
          <w:color w:val="000000"/>
          <w:sz w:val="28"/>
          <w:szCs w:val="28"/>
        </w:rPr>
        <w:t xml:space="preserve">    </w:t>
      </w:r>
      <w:r>
        <w:rPr>
          <w:rStyle w:val="Style14"/>
          <w:rFonts w:ascii="標楷體" w:hAnsi="標楷體" w:eastAsia="標楷體"/>
          <w:color w:val="000000"/>
          <w:sz w:val="28"/>
          <w:szCs w:val="28"/>
        </w:rPr>
        <w:t>本條例第四條第一項所定其他非營利之私法人，不包括政治團體或政黨。</w:t>
      </w:r>
    </w:p>
    <w:p>
      <w:pPr>
        <w:pStyle w:val="Style20"/>
        <w:widowControl w:val="false"/>
        <w:numPr>
          <w:ilvl w:val="0"/>
          <w:numId w:val="1"/>
        </w:numPr>
        <w:tabs>
          <w:tab w:val="left" w:pos="0" w:leader="none"/>
        </w:tabs>
        <w:suppressAutoHyphens w:val="true"/>
        <w:spacing w:lineRule="exact" w:line="480"/>
        <w:ind w:left="877" w:right="0" w:hanging="480"/>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本條例第五條所定學校型態實驗教育審議會</w:t>
      </w:r>
      <w:r>
        <w:rPr>
          <w:rFonts w:eastAsia="標楷體" w:ascii="標楷體" w:hAnsi="標楷體"/>
          <w:color w:val="000000"/>
          <w:sz w:val="28"/>
          <w:szCs w:val="28"/>
        </w:rPr>
        <w:t>(</w:t>
      </w:r>
      <w:r>
        <w:rPr>
          <w:rFonts w:ascii="標楷體" w:hAnsi="標楷體" w:eastAsia="標楷體"/>
          <w:color w:val="000000"/>
          <w:sz w:val="28"/>
          <w:szCs w:val="28"/>
        </w:rPr>
        <w:t>以下簡稱實驗教育審議會</w:t>
      </w:r>
      <w:r>
        <w:rPr>
          <w:rFonts w:eastAsia="標楷體" w:ascii="標楷體" w:hAnsi="標楷體"/>
          <w:color w:val="000000"/>
          <w:sz w:val="28"/>
          <w:szCs w:val="28"/>
        </w:rPr>
        <w:t>)</w:t>
      </w:r>
      <w:r>
        <w:rPr>
          <w:rFonts w:ascii="標楷體" w:hAnsi="標楷體" w:eastAsia="標楷體"/>
          <w:color w:val="000000"/>
          <w:sz w:val="28"/>
          <w:szCs w:val="28"/>
        </w:rPr>
        <w:t>，其決議應有委員總額過半數之出席，出席委員過半數之同意行之。但實驗教育審議會之議事相關規定有更嚴格之規定者，從其規定。</w:t>
      </w:r>
    </w:p>
    <w:p>
      <w:pPr>
        <w:pStyle w:val="Style20"/>
        <w:widowControl w:val="false"/>
        <w:numPr>
          <w:ilvl w:val="0"/>
          <w:numId w:val="1"/>
        </w:numPr>
        <w:tabs>
          <w:tab w:val="left" w:pos="0" w:leader="none"/>
        </w:tabs>
        <w:suppressAutoHyphens w:val="true"/>
        <w:spacing w:lineRule="exact" w:line="480"/>
        <w:ind w:left="820" w:right="0" w:hanging="480"/>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本條例第十九條第三項所稱恢復原有辦學型態，指回復至改制為私立實驗教育學校前，該私立學校原有之辦學型態。</w:t>
      </w:r>
    </w:p>
    <w:p>
      <w:pPr>
        <w:pStyle w:val="Style20"/>
        <w:widowControl w:val="false"/>
        <w:numPr>
          <w:ilvl w:val="0"/>
          <w:numId w:val="1"/>
        </w:numPr>
        <w:tabs>
          <w:tab w:val="left" w:pos="0" w:leader="none"/>
        </w:tabs>
        <w:suppressAutoHyphens w:val="true"/>
        <w:spacing w:lineRule="exact" w:line="480"/>
        <w:ind w:left="763" w:right="0" w:hanging="480"/>
        <w:rPr/>
      </w:pPr>
      <w:r>
        <w:rPr>
          <w:rStyle w:val="Style14"/>
          <w:rFonts w:ascii="標楷體" w:hAnsi="標楷體" w:eastAsia="標楷體"/>
          <w:sz w:val="28"/>
          <w:szCs w:val="28"/>
        </w:rPr>
        <w:t xml:space="preserve">    </w:t>
      </w:r>
      <w:r>
        <w:rPr>
          <w:rStyle w:val="Style14"/>
          <w:rFonts w:ascii="標楷體" w:hAnsi="標楷體" w:eastAsia="標楷體"/>
          <w:color w:val="000000"/>
          <w:sz w:val="28"/>
          <w:szCs w:val="28"/>
        </w:rPr>
        <w:t>本條例第二十三條第二項及第三項所定同一教育階段總校數，不包括原住民重點學校及私立學校之校數。</w:t>
      </w:r>
    </w:p>
    <w:p>
      <w:pPr>
        <w:pStyle w:val="Style20"/>
        <w:widowControl w:val="false"/>
        <w:numPr>
          <w:ilvl w:val="0"/>
          <w:numId w:val="1"/>
        </w:numPr>
        <w:tabs>
          <w:tab w:val="left" w:pos="0" w:leader="none"/>
        </w:tabs>
        <w:suppressAutoHyphens w:val="true"/>
        <w:spacing w:lineRule="exact" w:line="480"/>
        <w:ind w:left="820" w:right="0" w:hanging="480"/>
        <w:rPr/>
      </w:pPr>
      <w:r>
        <w:rPr>
          <w:rStyle w:val="Style14"/>
          <w:rFonts w:ascii="標楷體" w:hAnsi="標楷體" w:eastAsia="標楷體"/>
          <w:sz w:val="28"/>
          <w:szCs w:val="28"/>
        </w:rPr>
        <w:t xml:space="preserve">    </w:t>
      </w:r>
      <w:r>
        <w:rPr>
          <w:rStyle w:val="Style14"/>
          <w:rFonts w:ascii="標楷體" w:hAnsi="標楷體" w:eastAsia="標楷體"/>
          <w:color w:val="000000"/>
          <w:sz w:val="28"/>
          <w:szCs w:val="28"/>
        </w:rPr>
        <w:t>本條例中華民國一百零七年一月三十一日修正施行前，各該主管機關所屬公立學校型態實驗教育學校之校數已逾百分之五者，原辦理之公立學校型態實驗教育學校免依本條例第二十三條第二項但書規定報中央主管機關審查核定；本條例修正施行後，新辦理之公立學校型態實驗教育學校，仍應報中央主管機關審查核定。</w:t>
      </w:r>
    </w:p>
    <w:p>
      <w:pPr>
        <w:pStyle w:val="Style20"/>
        <w:widowControl w:val="false"/>
        <w:numPr>
          <w:ilvl w:val="0"/>
          <w:numId w:val="1"/>
        </w:numPr>
        <w:tabs>
          <w:tab w:val="left" w:pos="0" w:leader="none"/>
        </w:tabs>
        <w:suppressAutoHyphens w:val="true"/>
        <w:spacing w:lineRule="exact" w:line="480"/>
        <w:ind w:left="877" w:right="0" w:hanging="480"/>
        <w:rPr/>
      </w:pPr>
      <w:r>
        <w:rPr>
          <w:rStyle w:val="Style14"/>
          <w:rFonts w:ascii="標楷體" w:hAnsi="標楷體" w:eastAsia="標楷體"/>
          <w:sz w:val="28"/>
          <w:szCs w:val="28"/>
        </w:rPr>
        <w:t xml:space="preserve">    </w:t>
      </w:r>
      <w:r>
        <w:rPr>
          <w:rStyle w:val="Style14"/>
          <w:rFonts w:ascii="標楷體" w:hAnsi="標楷體" w:eastAsia="標楷體"/>
          <w:color w:val="000000"/>
          <w:sz w:val="28"/>
          <w:szCs w:val="28"/>
        </w:rPr>
        <w:t>依本條例第二十三條第七項規定，以契約方式進用編制外之教職員，適用勞動基準法之規定。</w:t>
      </w:r>
    </w:p>
    <w:p>
      <w:pPr>
        <w:pStyle w:val="Style20"/>
        <w:widowControl w:val="false"/>
        <w:numPr>
          <w:ilvl w:val="0"/>
          <w:numId w:val="1"/>
        </w:numPr>
        <w:tabs>
          <w:tab w:val="left" w:pos="0" w:leader="none"/>
        </w:tabs>
        <w:suppressAutoHyphens w:val="true"/>
        <w:spacing w:lineRule="exact" w:line="480"/>
        <w:ind w:left="1104" w:right="0" w:hanging="480"/>
        <w:rPr/>
      </w:pPr>
      <w:r>
        <w:rPr>
          <w:rStyle w:val="Style14"/>
          <w:rFonts w:ascii="標楷體" w:hAnsi="標楷體" w:eastAsia="標楷體"/>
          <w:sz w:val="28"/>
          <w:szCs w:val="28"/>
        </w:rPr>
        <w:t xml:space="preserve">    </w:t>
      </w:r>
      <w:r>
        <w:rPr>
          <w:rStyle w:val="Style14"/>
          <w:rFonts w:ascii="標楷體" w:hAnsi="標楷體" w:eastAsia="標楷體"/>
          <w:color w:val="000000"/>
          <w:sz w:val="28"/>
          <w:szCs w:val="28"/>
        </w:rPr>
        <w:t>本細則自發布日施行。</w:t>
      </w:r>
    </w:p>
    <w:sectPr>
      <w:footerReference w:type="default" r:id="rId2"/>
      <w:type w:val="nextPage"/>
      <w:pgSz w:w="11906" w:h="16838"/>
      <w:pgMar w:left="1701" w:right="1418" w:header="0" w:top="851" w:footer="992" w:bottom="141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635</wp:posOffset>
              </wp:positionV>
              <wp:extent cx="64770" cy="154940"/>
              <wp:effectExtent l="0" t="0" r="0" b="0"/>
              <wp:wrapSquare wrapText="bothSides"/>
              <wp:docPr id="1" name="訊框1"/>
              <a:graphic xmlns:a="http://schemas.openxmlformats.org/drawingml/2006/main">
                <a:graphicData uri="http://schemas.microsoft.com/office/word/2010/wordprocessingShape">
                  <wps:wsp>
                    <wps:cNvSpPr txBox="1"/>
                    <wps:spPr>
                      <a:xfrm>
                        <a:off x="0" y="0"/>
                        <a:ext cx="64770" cy="154940"/>
                      </a:xfrm>
                      <a:prstGeom prst="rect"/>
                    </wps:spPr>
                    <wps:txbx>
                      <w:txbxContent>
                        <w:p>
                          <w:pPr>
                            <w:pStyle w:val="Style22"/>
                            <w:rPr/>
                          </w:pPr>
                          <w:r>
                            <w:rPr>
                              <w:rStyle w:val="Style17"/>
                            </w:rPr>
                            <w:fldChar w:fldCharType="begin"/>
                          </w:r>
                          <w:r>
                            <w:instrText> PAGE </w:instrText>
                          </w:r>
                          <w:r>
                            <w:fldChar w:fldCharType="separate"/>
                          </w:r>
                          <w:r>
                            <w:t>1</w:t>
                          </w:r>
                          <w:r>
                            <w:fldChar w:fldCharType="end"/>
                          </w:r>
                        </w:p>
                      </w:txbxContent>
                    </wps:txbx>
                    <wps:bodyPr anchor="t" lIns="0" tIns="0" rIns="0" bIns="0">
                      <a:noAutofit/>
                    </wps:bodyPr>
                  </wps:wsp>
                </a:graphicData>
              </a:graphic>
            </wp:anchor>
          </w:drawing>
        </mc:Choice>
        <mc:Fallback>
          <w:pict>
            <v:rect style="position:absolute;rotation:0;width:5.1pt;height:12.2pt;margin-top:0.05pt;mso-position-vertical-relative:text;margin-left:217.1pt;mso-position-horizontal:center;mso-position-horizontal-relative:margin">
              <v:textbox inset="0in,0in,0in,0in">
                <w:txbxContent>
                  <w:p>
                    <w:pPr>
                      <w:pStyle w:val="Style22"/>
                      <w:rPr/>
                    </w:pPr>
                    <w:r>
                      <w:rPr>
                        <w:rStyle w:val="Style17"/>
                      </w:rPr>
                      <w:fldChar w:fldCharType="begin"/>
                    </w:r>
                    <w:r>
                      <w:instrText> PAGE </w:instrText>
                    </w:r>
                    <w:r>
                      <w:fldChar w:fldCharType="separate"/>
                    </w:r>
                    <w:r>
                      <w:t>1</w:t>
                    </w:r>
                    <w: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第%1條"/>
      <w:lvlJc w:val="left"/>
      <w:pPr>
        <w:tabs>
          <w:tab w:val="num" w:pos="480"/>
        </w:tabs>
        <w:ind w:left="480" w:hanging="480"/>
      </w:pPr>
      <w:rPr>
        <w:sz w:val="32"/>
        <w:szCs w:val="32"/>
        <w:rFonts w:eastAsia="標楷體"/>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HTML">
    <w:name w:val="HTML 預設格式 字元"/>
    <w:basedOn w:val="Style14"/>
    <w:qFormat/>
    <w:rPr>
      <w:rFonts w:ascii="細明體" w:hAnsi="細明體" w:eastAsia="細明體"/>
      <w:sz w:val="24"/>
    </w:rPr>
  </w:style>
  <w:style w:type="character" w:styleId="Style15">
    <w:name w:val="頁首 字元"/>
    <w:basedOn w:val="Style14"/>
    <w:qFormat/>
    <w:rPr/>
  </w:style>
  <w:style w:type="character" w:styleId="Style16">
    <w:name w:val="頁尾 字元"/>
    <w:basedOn w:val="Style14"/>
    <w:qFormat/>
    <w:rPr/>
  </w:style>
  <w:style w:type="character" w:styleId="Style17">
    <w:name w:val="頁碼"/>
    <w:basedOn w:val="Style14"/>
    <w:rPr>
      <w:rFonts w:cs="Times New Roman"/>
    </w:rPr>
  </w:style>
  <w:style w:type="character" w:styleId="WWCharLFO1LVL1">
    <w:name w:val="WW_CharLFO1LVL1"/>
    <w:qFormat/>
    <w:rPr>
      <w:rFonts w:cs="Times New Roman"/>
    </w:rPr>
  </w:style>
  <w:style w:type="character" w:styleId="WWCharLFO1LVL2">
    <w:name w:val="WW_CharLFO1LVL2"/>
    <w:qFormat/>
    <w:rPr>
      <w:rFonts w:cs="Times New Roman"/>
      <w:lang w:val="en-US"/>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cs="Times New Roman"/>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WWCharLFO4LVL1">
    <w:name w:val="WW_CharLFO4LVL1"/>
    <w:qFormat/>
    <w:rPr>
      <w:rFonts w:cs="Times New Roman"/>
    </w:rPr>
  </w:style>
  <w:style w:type="character" w:styleId="WWCharLFO4LVL2">
    <w:name w:val="WW_CharLFO4LVL2"/>
    <w:qFormat/>
    <w:rPr>
      <w:rFonts w:cs="Times New Roman"/>
    </w:rPr>
  </w:style>
  <w:style w:type="character" w:styleId="WWCharLFO4LVL3">
    <w:name w:val="WW_CharLFO4LVL3"/>
    <w:qFormat/>
    <w:rPr>
      <w:rFonts w:cs="Times New Roman"/>
    </w:rPr>
  </w:style>
  <w:style w:type="character" w:styleId="WWCharLFO4LVL4">
    <w:name w:val="WW_CharLFO4LVL4"/>
    <w:qFormat/>
    <w:rPr>
      <w:rFonts w:cs="Times New Roman"/>
    </w:rPr>
  </w:style>
  <w:style w:type="character" w:styleId="WWCharLFO4LVL5">
    <w:name w:val="WW_CharLFO4LVL5"/>
    <w:qFormat/>
    <w:rPr>
      <w:rFonts w:cs="Times New Roman"/>
    </w:rPr>
  </w:style>
  <w:style w:type="character" w:styleId="WWCharLFO4LVL6">
    <w:name w:val="WW_CharLFO4LVL6"/>
    <w:qFormat/>
    <w:rPr>
      <w:rFonts w:cs="Times New Roman"/>
    </w:rPr>
  </w:style>
  <w:style w:type="character" w:styleId="WWCharLFO4LVL7">
    <w:name w:val="WW_CharLFO4LVL7"/>
    <w:qFormat/>
    <w:rPr>
      <w:rFonts w:cs="Times New Roman"/>
    </w:rPr>
  </w:style>
  <w:style w:type="character" w:styleId="WWCharLFO4LVL8">
    <w:name w:val="WW_CharLFO4LVL8"/>
    <w:qFormat/>
    <w:rPr>
      <w:rFonts w:cs="Times New Roman"/>
    </w:rPr>
  </w:style>
  <w:style w:type="character" w:styleId="WWCharLFO4LVL9">
    <w:name w:val="WW_CharLFO4LVL9"/>
    <w:qFormat/>
    <w:rPr>
      <w:rFonts w:cs="Times New Roman"/>
    </w:rPr>
  </w:style>
  <w:style w:type="character" w:styleId="WWCharLFO5LVL1">
    <w:name w:val="WW_CharLFO5LVL1"/>
    <w:qFormat/>
    <w:rPr>
      <w:rFonts w:cs="Times New Roman"/>
    </w:rPr>
  </w:style>
  <w:style w:type="character" w:styleId="WWCharLFO5LVL2">
    <w:name w:val="WW_CharLFO5LVL2"/>
    <w:qFormat/>
    <w:rPr>
      <w:rFonts w:cs="Times New Roman"/>
    </w:rPr>
  </w:style>
  <w:style w:type="character" w:styleId="WWCharLFO5LVL3">
    <w:name w:val="WW_CharLFO5LVL3"/>
    <w:qFormat/>
    <w:rPr>
      <w:rFonts w:cs="Times New Roman"/>
    </w:rPr>
  </w:style>
  <w:style w:type="character" w:styleId="WWCharLFO5LVL4">
    <w:name w:val="WW_CharLFO5LVL4"/>
    <w:qFormat/>
    <w:rPr>
      <w:rFonts w:cs="Times New Roman"/>
    </w:rPr>
  </w:style>
  <w:style w:type="character" w:styleId="WWCharLFO5LVL5">
    <w:name w:val="WW_CharLFO5LVL5"/>
    <w:qFormat/>
    <w:rPr>
      <w:rFonts w:cs="Times New Roman"/>
    </w:rPr>
  </w:style>
  <w:style w:type="character" w:styleId="WWCharLFO5LVL6">
    <w:name w:val="WW_CharLFO5LVL6"/>
    <w:qFormat/>
    <w:rPr>
      <w:rFonts w:cs="Times New Roman"/>
    </w:rPr>
  </w:style>
  <w:style w:type="character" w:styleId="WWCharLFO5LVL7">
    <w:name w:val="WW_CharLFO5LVL7"/>
    <w:qFormat/>
    <w:rPr>
      <w:rFonts w:cs="Times New Roman"/>
    </w:rPr>
  </w:style>
  <w:style w:type="character" w:styleId="WWCharLFO5LVL8">
    <w:name w:val="WW_CharLFO5LVL8"/>
    <w:qFormat/>
    <w:rPr>
      <w:rFonts w:cs="Times New Roman"/>
    </w:rPr>
  </w:style>
  <w:style w:type="character" w:styleId="WWCharLFO5LVL9">
    <w:name w:val="WW_CharLFO5LVL9"/>
    <w:qFormat/>
    <w:rPr>
      <w:rFonts w:cs="Times New Roman"/>
    </w:rPr>
  </w:style>
  <w:style w:type="character" w:styleId="WWCharLFO6LVL1">
    <w:name w:val="WW_CharLFO6LVL1"/>
    <w:qFormat/>
    <w:rPr>
      <w:rFonts w:cs="Times New Roman"/>
    </w:rPr>
  </w:style>
  <w:style w:type="character" w:styleId="WWCharLFO6LVL2">
    <w:name w:val="WW_CharLFO6LVL2"/>
    <w:qFormat/>
    <w:rPr>
      <w:rFonts w:cs="Times New Roman"/>
    </w:rPr>
  </w:style>
  <w:style w:type="character" w:styleId="WWCharLFO6LVL3">
    <w:name w:val="WW_CharLFO6LVL3"/>
    <w:qFormat/>
    <w:rPr>
      <w:rFonts w:cs="Times New Roman"/>
    </w:rPr>
  </w:style>
  <w:style w:type="character" w:styleId="WWCharLFO6LVL4">
    <w:name w:val="WW_CharLFO6LVL4"/>
    <w:qFormat/>
    <w:rPr>
      <w:rFonts w:cs="Times New Roman"/>
    </w:rPr>
  </w:style>
  <w:style w:type="character" w:styleId="WWCharLFO6LVL5">
    <w:name w:val="WW_CharLFO6LVL5"/>
    <w:qFormat/>
    <w:rPr>
      <w:rFonts w:cs="Times New Roman"/>
    </w:rPr>
  </w:style>
  <w:style w:type="character" w:styleId="WWCharLFO6LVL6">
    <w:name w:val="WW_CharLFO6LVL6"/>
    <w:qFormat/>
    <w:rPr>
      <w:rFonts w:cs="Times New Roman"/>
    </w:rPr>
  </w:style>
  <w:style w:type="character" w:styleId="WWCharLFO6LVL7">
    <w:name w:val="WW_CharLFO6LVL7"/>
    <w:qFormat/>
    <w:rPr>
      <w:rFonts w:cs="Times New Roman"/>
    </w:rPr>
  </w:style>
  <w:style w:type="character" w:styleId="WWCharLFO6LVL8">
    <w:name w:val="WW_CharLFO6LVL8"/>
    <w:qFormat/>
    <w:rPr>
      <w:rFonts w:cs="Times New Roman"/>
    </w:rPr>
  </w:style>
  <w:style w:type="character" w:styleId="WWCharLFO6LVL9">
    <w:name w:val="WW_CharLFO6LVL9"/>
    <w:qFormat/>
    <w:rPr>
      <w:rFonts w:cs="Times New Roman"/>
    </w:rPr>
  </w:style>
  <w:style w:type="character" w:styleId="WWCharLFO9LVL1">
    <w:name w:val="WW_CharLFO9LVL1"/>
    <w:qFormat/>
    <w:rPr>
      <w:rFonts w:cs="Times New Roman"/>
    </w:rPr>
  </w:style>
  <w:style w:type="character" w:styleId="WWCharLFO9LVL2">
    <w:name w:val="WW_CharLFO9LVL2"/>
    <w:qFormat/>
    <w:rPr>
      <w:rFonts w:cs="Times New Roman"/>
      <w:lang w:val="en-US"/>
    </w:rPr>
  </w:style>
  <w:style w:type="character" w:styleId="WWCharLFO9LVL3">
    <w:name w:val="WW_CharLFO9LVL3"/>
    <w:qFormat/>
    <w:rPr>
      <w:rFonts w:cs="Times New Roman"/>
    </w:rPr>
  </w:style>
  <w:style w:type="character" w:styleId="WWCharLFO9LVL4">
    <w:name w:val="WW_CharLFO9LVL4"/>
    <w:qFormat/>
    <w:rPr>
      <w:rFonts w:cs="Times New Roman"/>
    </w:rPr>
  </w:style>
  <w:style w:type="character" w:styleId="WWCharLFO9LVL5">
    <w:name w:val="WW_CharLFO9LVL5"/>
    <w:qFormat/>
    <w:rPr>
      <w:rFonts w:cs="Times New Roman"/>
    </w:rPr>
  </w:style>
  <w:style w:type="character" w:styleId="WWCharLFO9LVL6">
    <w:name w:val="WW_CharLFO9LVL6"/>
    <w:qFormat/>
    <w:rPr>
      <w:rFonts w:cs="Times New Roman"/>
    </w:rPr>
  </w:style>
  <w:style w:type="character" w:styleId="WWCharLFO9LVL7">
    <w:name w:val="WW_CharLFO9LVL7"/>
    <w:qFormat/>
    <w:rPr>
      <w:rFonts w:cs="Times New Roman"/>
    </w:rPr>
  </w:style>
  <w:style w:type="character" w:styleId="WWCharLFO9LVL8">
    <w:name w:val="WW_CharLFO9LVL8"/>
    <w:qFormat/>
    <w:rPr>
      <w:rFonts w:cs="Times New Roman"/>
    </w:rPr>
  </w:style>
  <w:style w:type="character" w:styleId="WWCharLFO9LVL9">
    <w:name w:val="WW_CharLFO9LVL9"/>
    <w:qFormat/>
    <w:rPr>
      <w:rFonts w:cs="Times New Roman"/>
    </w:rPr>
  </w:style>
  <w:style w:type="character" w:styleId="WWCharLFO10LVL1">
    <w:name w:val="WW_CharLFO10LVL1"/>
    <w:qFormat/>
    <w:rPr>
      <w:rFonts w:cs="Times New Roman"/>
    </w:rPr>
  </w:style>
  <w:style w:type="character" w:styleId="WWCharLFO10LVL2">
    <w:name w:val="WW_CharLFO10LVL2"/>
    <w:qFormat/>
    <w:rPr>
      <w:rFonts w:cs="Times New Roman"/>
      <w:lang w:val="en-US"/>
    </w:rPr>
  </w:style>
  <w:style w:type="character" w:styleId="WWCharLFO11LVL1">
    <w:name w:val="WW_CharLFO11LVL1"/>
    <w:qFormat/>
    <w:rPr>
      <w:rFonts w:cs="Times New Roman"/>
    </w:rPr>
  </w:style>
  <w:style w:type="character" w:styleId="WWCharLFO12LVL1">
    <w:name w:val="WW_CharLFO12LVL1"/>
    <w:qFormat/>
    <w:rPr>
      <w:rFonts w:cs="Times New Roman"/>
    </w:rPr>
  </w:style>
  <w:style w:type="character" w:styleId="WWCharLFO12LVL2">
    <w:name w:val="WW_CharLFO12LVL2"/>
    <w:qFormat/>
    <w:rPr>
      <w:rFonts w:cs="Times New Roman"/>
      <w:lang w:val="en-US"/>
    </w:rPr>
  </w:style>
  <w:style w:type="character" w:styleId="WWCharLFO13LVL1">
    <w:name w:val="WW_CharLFO13LVL1"/>
    <w:qFormat/>
    <w:rPr>
      <w:rFonts w:cs="Times New Roman"/>
    </w:rPr>
  </w:style>
  <w:style w:type="character" w:styleId="WWCharLFO14LVL1">
    <w:name w:val="WW_CharLFO14LVL1"/>
    <w:qFormat/>
    <w:rPr>
      <w:rFonts w:cs="Times New Roman"/>
    </w:rPr>
  </w:style>
  <w:style w:type="character" w:styleId="WWCharLFO15LVL1">
    <w:name w:val="WW_CharLFO15LVL1"/>
    <w:qFormat/>
    <w:rPr>
      <w:rFonts w:cs="Times New Roman"/>
    </w:rPr>
  </w:style>
  <w:style w:type="character" w:styleId="WWCharLFO16LVL1">
    <w:name w:val="WW_CharLFO16LVL1"/>
    <w:qFormat/>
    <w:rPr>
      <w:rFonts w:cs="Times New Roman"/>
    </w:rPr>
  </w:style>
  <w:style w:type="character" w:styleId="WWCharLFO17LVL1">
    <w:name w:val="WW_CharLFO17LVL1"/>
    <w:qFormat/>
    <w:rPr>
      <w:rFonts w:cs="Times New Roman"/>
    </w:rPr>
  </w:style>
  <w:style w:type="character" w:styleId="WWCharLFO18LVL1">
    <w:name w:val="WW_CharLFO18LVL1"/>
    <w:qFormat/>
    <w:rPr>
      <w:rFonts w:cs="Times New Roman"/>
    </w:rPr>
  </w:style>
  <w:style w:type="character" w:styleId="WWCharLFO19LVL1">
    <w:name w:val="WW_CharLFO19LVL1"/>
    <w:qFormat/>
    <w:rPr>
      <w:rFonts w:cs="Times New Roman"/>
    </w:rPr>
  </w:style>
  <w:style w:type="character" w:styleId="WWCharLFO20LVL1">
    <w:name w:val="WW_CharLFO20LVL1"/>
    <w:qFormat/>
    <w:rPr>
      <w:rFonts w:cs="Times New Roman"/>
    </w:rPr>
  </w:style>
  <w:style w:type="character" w:styleId="WWCharLFO20LVL4">
    <w:name w:val="WW_CharLFO20LVL4"/>
    <w:qFormat/>
    <w:rPr>
      <w:rFonts w:cs="Times New Roman"/>
    </w:rPr>
  </w:style>
  <w:style w:type="character" w:styleId="WWCharLFO20LVL5">
    <w:name w:val="WW_CharLFO20LVL5"/>
    <w:qFormat/>
    <w:rPr>
      <w:rFonts w:cs="Times New Roman"/>
    </w:rPr>
  </w:style>
  <w:style w:type="character" w:styleId="WWCharLFO20LVL6">
    <w:name w:val="WW_CharLFO20LVL6"/>
    <w:qFormat/>
    <w:rPr>
      <w:rFonts w:cs="Times New Roman"/>
    </w:rPr>
  </w:style>
  <w:style w:type="character" w:styleId="WWCharLFO20LVL7">
    <w:name w:val="WW_CharLFO20LVL7"/>
    <w:qFormat/>
    <w:rPr>
      <w:rFonts w:cs="Times New Roman"/>
    </w:rPr>
  </w:style>
  <w:style w:type="character" w:styleId="WWCharLFO20LVL8">
    <w:name w:val="WW_CharLFO20LVL8"/>
    <w:qFormat/>
    <w:rPr>
      <w:rFonts w:cs="Times New Roman"/>
    </w:rPr>
  </w:style>
  <w:style w:type="character" w:styleId="WWCharLFO20LVL9">
    <w:name w:val="WW_CharLFO20LVL9"/>
    <w:qFormat/>
    <w:rPr>
      <w:rFonts w:cs="Times New Roman"/>
    </w:rPr>
  </w:style>
  <w:style w:type="character" w:styleId="WWCharLFO23LVL1">
    <w:name w:val="WW_CharLFO23LVL1"/>
    <w:qFormat/>
    <w:rPr>
      <w:rFonts w:cs="Times New Roman"/>
      <w:u w:val="none"/>
    </w:rPr>
  </w:style>
  <w:style w:type="character" w:styleId="WWCharLFO26LVL1">
    <w:name w:val="WW_CharLFO26LVL1"/>
    <w:qFormat/>
    <w:rPr>
      <w:rFonts w:cs="Times New Roman"/>
    </w:rPr>
  </w:style>
  <w:style w:type="character" w:styleId="WWCharLFO27LVL1">
    <w:name w:val="WW_CharLFO27LVL1"/>
    <w:qFormat/>
    <w:rPr>
      <w:rFonts w:cs="Times New Roman"/>
    </w:rPr>
  </w:style>
  <w:style w:type="character" w:styleId="WWCharLFO28LVL1">
    <w:name w:val="WW_CharLFO28LVL1"/>
    <w:qFormat/>
    <w:rPr>
      <w:rFonts w:cs="Times New Roman"/>
      <w:lang w:val="en-US"/>
    </w:rPr>
  </w:style>
  <w:style w:type="character" w:styleId="WWCharLFO29LVL1">
    <w:name w:val="WW_CharLFO29LVL1"/>
    <w:qFormat/>
    <w:rPr>
      <w:rFonts w:cs="Times New Roman"/>
      <w:lang w:val="en-US"/>
    </w:rPr>
  </w:style>
  <w:style w:type="character" w:styleId="WWCharLFO30LVL1">
    <w:name w:val="WW_CharLFO30LVL1"/>
    <w:qFormat/>
    <w:rPr>
      <w:b w:val="false"/>
      <w:sz w:val="28"/>
      <w:szCs w:val="28"/>
    </w:rPr>
  </w:style>
  <w:style w:type="character" w:styleId="Style18">
    <w:name w:val="編號字元"/>
    <w:qFormat/>
    <w:rPr>
      <w:rFonts w:eastAsia="標楷體"/>
      <w:sz w:val="32"/>
      <w:szCs w:val="32"/>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HTML1">
    <w:name w:val="HTML 預設格式"/>
    <w:basedOn w:val="Style19"/>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szCs w:val="20"/>
    </w:rPr>
  </w:style>
  <w:style w:type="paragraph" w:styleId="Style20">
    <w:name w:val="清單段落"/>
    <w:basedOn w:val="Style19"/>
    <w:qFormat/>
    <w:pPr>
      <w:suppressAutoHyphens w:val="true"/>
      <w:ind w:left="480" w:right="0" w:hanging="0"/>
    </w:pPr>
    <w:rPr/>
  </w:style>
  <w:style w:type="paragraph" w:styleId="Default">
    <w:name w:val="Default"/>
    <w:qFormat/>
    <w:pPr>
      <w:keepNext/>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pPr>
    <w:rPr>
      <w:rFonts w:ascii="標楷體" w:hAnsi="標楷體" w:cs="標楷體" w:eastAsia="新細明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val="en-US" w:eastAsia="zh-TW" w:bidi="ar-SA"/>
    </w:rPr>
  </w:style>
  <w:style w:type="paragraph" w:styleId="Style21">
    <w:name w:val="Header"/>
    <w:basedOn w:val="Style19"/>
    <w:pPr>
      <w:tabs>
        <w:tab w:val="center" w:pos="4153" w:leader="none"/>
        <w:tab w:val="right" w:pos="8306" w:leader="none"/>
      </w:tabs>
      <w:suppressAutoHyphens w:val="true"/>
      <w:snapToGrid w:val="false"/>
    </w:pPr>
    <w:rPr>
      <w:sz w:val="20"/>
      <w:szCs w:val="20"/>
    </w:rPr>
  </w:style>
  <w:style w:type="paragraph" w:styleId="Style22">
    <w:name w:val="Footer"/>
    <w:basedOn w:val="Style19"/>
    <w:pPr>
      <w:tabs>
        <w:tab w:val="center" w:pos="4153" w:leader="none"/>
        <w:tab w:val="right" w:pos="8306" w:leader="none"/>
      </w:tabs>
      <w:suppressAutoHyphens w:val="true"/>
      <w:snapToGrid w:val="false"/>
    </w:pPr>
    <w:rPr>
      <w:sz w:val="20"/>
      <w:szCs w:val="20"/>
    </w:rPr>
  </w:style>
  <w:style w:type="paragraph" w:styleId="1">
    <w:name w:val="清單段落1"/>
    <w:basedOn w:val="Style19"/>
    <w:qFormat/>
    <w:pPr>
      <w:suppressAutoHyphens w:val="true"/>
      <w:ind w:left="480" w:right="0" w:hanging="0"/>
    </w:pPr>
    <w:rPr/>
  </w:style>
  <w:style w:type="paragraph" w:styleId="Style23">
    <w:name w:val="框架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LibreOffice/5.2.5.1$Windows_x86 LibreOffice_project/0312e1a284a7d50ca85a365c316c7abbf20a4d22</Application>
  <Pages>1</Pages>
  <Words>528</Words>
  <Characters>528</Characters>
  <CharactersWithSpaces>565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2018-09-19T06:12:00Z</dcterms:created>
  <dc:creator>蔡易珊</dc:creator>
  <dc:description/>
  <dc:language>zh-TW</dc:language>
  <cp:lastModifiedBy/>
  <cp:lastPrinted>2014-03-24T08:13:00Z</cp:lastPrinted>
  <dcterms:modified xsi:type="dcterms:W3CDTF">2018-09-21T12:50:54Z</dcterms:modified>
  <cp:revision>5</cp:revision>
  <dc:subject/>
  <dc:title/>
</cp:coreProperties>
</file>