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proofErr w:type="gramStart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proofErr w:type="gramEnd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</w:t>
      </w:r>
      <w:proofErr w:type="gramStart"/>
      <w:r w:rsidRPr="003924AA">
        <w:rPr>
          <w:rFonts w:eastAsia="標楷體"/>
          <w:bCs/>
        </w:rPr>
        <w:t>語復振計畫</w:t>
      </w:r>
      <w:proofErr w:type="gramEnd"/>
      <w:r w:rsidRPr="003924AA">
        <w:rPr>
          <w:rFonts w:eastAsia="標楷體"/>
          <w:bCs/>
        </w:rPr>
        <w:t>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proofErr w:type="gramStart"/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</w:t>
      </w:r>
      <w:proofErr w:type="gramStart"/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</w:t>
      </w:r>
      <w:proofErr w:type="gramStart"/>
      <w:r w:rsidRPr="003924AA">
        <w:rPr>
          <w:rFonts w:ascii="Times New Roman" w:eastAsia="標楷體" w:hAnsi="Times New Roman" w:cs="Times New Roman"/>
          <w:color w:val="000000"/>
          <w:szCs w:val="24"/>
        </w:rPr>
        <w:t>台東縣賓茂國小</w:t>
      </w:r>
      <w:proofErr w:type="gramEnd"/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Ind w:w="-1026" w:type="dxa"/>
        <w:tblLook w:val="04A0" w:firstRow="1" w:lastRow="0" w:firstColumn="1" w:lastColumn="0" w:noHBand="0" w:noVBand="1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</w:t>
            </w:r>
            <w:proofErr w:type="gramEnd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5554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proofErr w:type="gramStart"/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  <w:proofErr w:type="gramEnd"/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 w:hint="eastAsia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bookmarkStart w:id="0" w:name="_GoBack"/>
      <w:bookmarkEnd w:id="0"/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8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proofErr w:type="gramStart"/>
      <w:r w:rsidR="00374C00">
        <w:rPr>
          <w:rFonts w:hint="eastAsia"/>
          <w:sz w:val="24"/>
        </w:rPr>
        <w:t>線上報名</w:t>
      </w:r>
      <w:proofErr w:type="gramEnd"/>
    </w:p>
    <w:p w:rsidR="005A1B7B" w:rsidRPr="005A1B7B" w:rsidRDefault="008567E1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9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</w:t>
      </w:r>
      <w:proofErr w:type="gramStart"/>
      <w:r w:rsidR="00B74A94" w:rsidRPr="003924AA">
        <w:rPr>
          <w:sz w:val="24"/>
        </w:rPr>
        <w:t>公假排代參加</w:t>
      </w:r>
      <w:proofErr w:type="gramEnd"/>
      <w:r w:rsidR="00B74A94" w:rsidRPr="003924AA">
        <w:rPr>
          <w:sz w:val="24"/>
        </w:rPr>
        <w:t>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proofErr w:type="gramStart"/>
      <w:r w:rsidR="00543AAC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43AAC">
        <w:rPr>
          <w:rFonts w:ascii="Times New Roman" w:eastAsia="標楷體" w:hAnsi="Times New Roman" w:cs="Times New Roman" w:hint="eastAsia"/>
          <w:szCs w:val="24"/>
        </w:rPr>
        <w:t>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  <w:proofErr w:type="gramEnd"/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  <w:proofErr w:type="gramEnd"/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10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E1" w:rsidRDefault="008567E1" w:rsidP="005846FE">
      <w:r>
        <w:separator/>
      </w:r>
    </w:p>
  </w:endnote>
  <w:endnote w:type="continuationSeparator" w:id="0">
    <w:p w:rsidR="008567E1" w:rsidRDefault="008567E1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E1" w:rsidRDefault="008567E1" w:rsidP="005846FE">
      <w:r>
        <w:separator/>
      </w:r>
    </w:p>
  </w:footnote>
  <w:footnote w:type="continuationSeparator" w:id="0">
    <w:p w:rsidR="008567E1" w:rsidRDefault="008567E1" w:rsidP="005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43E5E"/>
    <w:rsid w:val="00144DF0"/>
    <w:rsid w:val="00160747"/>
    <w:rsid w:val="0018341D"/>
    <w:rsid w:val="00183570"/>
    <w:rsid w:val="001C4FC5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4179B"/>
    <w:rsid w:val="00B6574D"/>
    <w:rsid w:val="00B74A94"/>
    <w:rsid w:val="00BA4F63"/>
    <w:rsid w:val="00BB22FA"/>
    <w:rsid w:val="00C17575"/>
    <w:rsid w:val="00C438E4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27B58"/>
    <w:rsid w:val="00E459CD"/>
    <w:rsid w:val="00E87983"/>
    <w:rsid w:val="00EA3DD6"/>
    <w:rsid w:val="00F31274"/>
    <w:rsid w:val="00F36C4D"/>
    <w:rsid w:val="00F4241E"/>
    <w:rsid w:val="00F455BC"/>
    <w:rsid w:val="00F70A51"/>
    <w:rsid w:val="00F72258"/>
    <w:rsid w:val="00F9617B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masang@gm.nt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J0OyPGK5ph1kqjB_fNHzzAJBdwZE6INGjuCFlMYYRsFddm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19CD-16D7-4324-B683-7C49F630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1813</Characters>
  <Application>Microsoft Office Word</Application>
  <DocSecurity>0</DocSecurity>
  <Lines>15</Lines>
  <Paragraphs>4</Paragraphs>
  <ScaleCrop>false</ScaleCrop>
  <Company>C.M.T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user</cp:lastModifiedBy>
  <cp:revision>5</cp:revision>
  <cp:lastPrinted>2017-02-23T07:48:00Z</cp:lastPrinted>
  <dcterms:created xsi:type="dcterms:W3CDTF">2017-03-13T02:08:00Z</dcterms:created>
  <dcterms:modified xsi:type="dcterms:W3CDTF">2017-03-13T02:10:00Z</dcterms:modified>
</cp:coreProperties>
</file>