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75" w:rsidRPr="00F535E6" w:rsidRDefault="00F535E6" w:rsidP="00F535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35E6">
        <w:rPr>
          <w:b/>
          <w:sz w:val="28"/>
          <w:szCs w:val="28"/>
        </w:rPr>
        <w:t>兒童及少年福利與權益保障法</w:t>
      </w:r>
      <w:r w:rsidRPr="00F535E6">
        <w:rPr>
          <w:rFonts w:asciiTheme="minorEastAsia" w:hAnsiTheme="minorEastAsia" w:hint="eastAsia"/>
          <w:b/>
          <w:sz w:val="28"/>
          <w:szCs w:val="28"/>
        </w:rPr>
        <w:t>（節錄）</w:t>
      </w:r>
    </w:p>
    <w:p w:rsidR="00F535E6" w:rsidRPr="00F535E6" w:rsidRDefault="00F535E6">
      <w:pPr>
        <w:rPr>
          <w:b/>
          <w:sz w:val="28"/>
          <w:szCs w:val="28"/>
        </w:rPr>
      </w:pPr>
      <w:r w:rsidRPr="00F535E6">
        <w:rPr>
          <w:rFonts w:hint="eastAsia"/>
          <w:b/>
          <w:sz w:val="28"/>
          <w:szCs w:val="28"/>
        </w:rPr>
        <w:t>第</w:t>
      </w:r>
      <w:r w:rsidRPr="00F535E6">
        <w:rPr>
          <w:rFonts w:hint="eastAsia"/>
          <w:b/>
          <w:sz w:val="28"/>
          <w:szCs w:val="28"/>
        </w:rPr>
        <w:t>43</w:t>
      </w:r>
      <w:r w:rsidRPr="00F535E6">
        <w:rPr>
          <w:rFonts w:hint="eastAsia"/>
          <w:b/>
          <w:sz w:val="28"/>
          <w:szCs w:val="28"/>
        </w:rPr>
        <w:t>條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兒童及少年不得為下列行為：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一、吸菸、飲酒、嚼檳榔。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二、施用毒品、非法施用管制藥品或其他有害身心健康之物質。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三、觀看、閱覽、收聽或使用有害其身心健康之暴力、血腥、色情、猥褻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、賭博之出版品、圖畫、錄影節目帶、影片、光碟、磁片、電子訊號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   、遊戲軟體、網際網路內容或其他物品。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四、在道路上競駛、競技或以蛇行等危險方式駕車或參與其行為。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五、超過合理時間持續使用電子類產品，致有害身心健康。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父母、監護人或其他實際照顧兒童及少年之人，應禁止兒童及少年為前項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各款行為。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任何人均不得供應第一項第一款至第三款之物質、物品予兒童及少年。</w:t>
      </w:r>
    </w:p>
    <w:p w:rsidR="00F535E6" w:rsidRPr="00F535E6" w:rsidRDefault="00F535E6" w:rsidP="00F535E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任何人均不得對兒童及少年散布或播送第一項第三款之內容或物品。</w:t>
      </w:r>
    </w:p>
    <w:p w:rsidR="00F535E6" w:rsidRDefault="00F535E6"/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eastAsia="細明體" w:cs="細明體"/>
          <w:b/>
          <w:color w:val="000000"/>
          <w:kern w:val="0"/>
          <w:sz w:val="28"/>
          <w:szCs w:val="28"/>
        </w:rPr>
        <w:t>第</w:t>
      </w:r>
      <w:r w:rsidRPr="00F535E6">
        <w:rPr>
          <w:rFonts w:eastAsia="細明體" w:cs="細明體"/>
          <w:b/>
          <w:color w:val="000000"/>
          <w:kern w:val="0"/>
          <w:sz w:val="28"/>
          <w:szCs w:val="28"/>
        </w:rPr>
        <w:t>91</w:t>
      </w:r>
      <w:r w:rsidRPr="00F535E6">
        <w:rPr>
          <w:rFonts w:eastAsia="細明體" w:cs="細明體"/>
          <w:b/>
          <w:color w:val="000000"/>
          <w:kern w:val="0"/>
          <w:sz w:val="28"/>
          <w:szCs w:val="28"/>
        </w:rPr>
        <w:t>條</w:t>
      </w:r>
      <w:r w:rsidRPr="00F535E6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br/>
      </w: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父母、監護人或其他實際照顧兒童及少年之人，違反第四十三條第二項規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定，情節嚴重者，處新臺幣一萬元以上五萬元以下罰鍰。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供應酒或檳榔予兒童及少年者，處新臺幣一萬元以上五萬元以下罰鍰。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供應毒品、非法供應管制藥品或其他有害身心健康之物質予兒童及少年者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，處新臺幣六萬元以上三十萬元以下罰鍰。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供應有關暴力、血腥、色情或猥褻出版品、圖畫、錄影節目帶、影片、光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碟、電子訊號、遊戲軟體或其他物品予兒童及少年者，處新臺幣二萬元以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上十萬元以下罰鍰。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違反第四十三條第四項規定者，除新聞紙依第四十五條及第九十三條規定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辦理外，處新臺幣五萬元以上二十五萬元以下罰鍰，並公布其姓名或名稱</w:t>
      </w:r>
    </w:p>
    <w:p w:rsidR="00F535E6" w:rsidRPr="00F535E6" w:rsidRDefault="00F535E6" w:rsidP="00F535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細明體" w:eastAsia="細明體" w:hAnsi="細明體" w:cs="細明體"/>
          <w:color w:val="000000"/>
          <w:kern w:val="0"/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及命其限期改善；屆期未改善者，得按次處罰；情節嚴重者，並得由主管</w:t>
      </w:r>
    </w:p>
    <w:p w:rsidR="00F535E6" w:rsidRPr="00F535E6" w:rsidRDefault="00F535E6" w:rsidP="00F535E6">
      <w:pPr>
        <w:rPr>
          <w:szCs w:val="24"/>
        </w:rPr>
      </w:pPr>
      <w:r w:rsidRPr="00F535E6">
        <w:rPr>
          <w:rFonts w:ascii="細明體" w:eastAsia="細明體" w:hAnsi="細明體" w:cs="細明體" w:hint="eastAsia"/>
          <w:color w:val="000000"/>
          <w:kern w:val="0"/>
          <w:szCs w:val="24"/>
        </w:rPr>
        <w:t>機關移請目的事業主管機關勒令停業一個月以上一年以下。</w:t>
      </w:r>
    </w:p>
    <w:sectPr w:rsidR="00F535E6" w:rsidRPr="00F535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E6"/>
    <w:rsid w:val="00460775"/>
    <w:rsid w:val="005462DD"/>
    <w:rsid w:val="00F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C4F9-8B44-49B8-925C-760B59C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3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535E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彭韶竹</dc:creator>
  <cp:keywords/>
  <dc:description/>
  <cp:lastModifiedBy>20120628A3</cp:lastModifiedBy>
  <cp:revision>2</cp:revision>
  <dcterms:created xsi:type="dcterms:W3CDTF">2017-01-05T06:47:00Z</dcterms:created>
  <dcterms:modified xsi:type="dcterms:W3CDTF">2017-01-05T06:47:00Z</dcterms:modified>
</cp:coreProperties>
</file>