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BE" w:rsidRPr="00560C6E" w:rsidRDefault="00560C6E" w:rsidP="00560C6E">
      <w:pPr>
        <w:spacing w:line="500" w:lineRule="exact"/>
        <w:jc w:val="center"/>
        <w:rPr>
          <w:rFonts w:ascii="Times New Roman" w:eastAsia="標楷體" w:hAnsi="Times New Roman" w:cs="Times New Roman"/>
          <w:color w:val="000000" w:themeColor="text1"/>
          <w:spacing w:val="-6"/>
          <w:sz w:val="32"/>
          <w:szCs w:val="32"/>
        </w:rPr>
      </w:pPr>
      <w:bookmarkStart w:id="0" w:name="_GoBack"/>
      <w:bookmarkEnd w:id="0"/>
      <w:r w:rsidRPr="00560C6E">
        <w:rPr>
          <w:rFonts w:ascii="標楷體" w:eastAsia="標楷體" w:hAnsi="標楷體" w:hint="eastAsia"/>
          <w:b/>
          <w:color w:val="000000" w:themeColor="text1"/>
          <w:spacing w:val="-6"/>
          <w:sz w:val="32"/>
          <w:szCs w:val="32"/>
        </w:rPr>
        <w:t>各機關（構）學校追繳違法支給加給或其他金錢給付參考處理原則</w:t>
      </w:r>
    </w:p>
    <w:p w:rsidR="006B4DBE" w:rsidRDefault="006B4DBE" w:rsidP="00354F81">
      <w:pPr>
        <w:spacing w:line="500" w:lineRule="exact"/>
        <w:jc w:val="both"/>
        <w:rPr>
          <w:rFonts w:ascii="Times New Roman" w:eastAsia="標楷體" w:hAnsi="Times New Roman" w:cs="Times New Roman"/>
          <w:sz w:val="32"/>
          <w:szCs w:val="32"/>
        </w:rPr>
      </w:pPr>
    </w:p>
    <w:p w:rsidR="00560C6E" w:rsidRPr="000D2E26" w:rsidRDefault="00560C6E" w:rsidP="00560C6E">
      <w:pPr>
        <w:spacing w:line="500" w:lineRule="exact"/>
        <w:jc w:val="both"/>
        <w:rPr>
          <w:rFonts w:ascii="Times New Roman" w:eastAsia="標楷體" w:hAnsi="Times New Roman" w:cs="Times New Roman"/>
          <w:b/>
          <w:sz w:val="32"/>
          <w:szCs w:val="32"/>
        </w:rPr>
      </w:pPr>
      <w:r w:rsidRPr="000D2E26">
        <w:rPr>
          <w:rFonts w:ascii="Times New Roman" w:eastAsia="標楷體" w:hAnsi="Times New Roman" w:cs="Times New Roman" w:hint="eastAsia"/>
          <w:b/>
          <w:sz w:val="32"/>
          <w:szCs w:val="32"/>
        </w:rPr>
        <w:t>一、</w:t>
      </w:r>
      <w:r>
        <w:rPr>
          <w:rFonts w:ascii="Times New Roman" w:eastAsia="標楷體" w:hAnsi="Times New Roman" w:cs="Times New Roman" w:hint="eastAsia"/>
          <w:b/>
          <w:sz w:val="32"/>
          <w:szCs w:val="32"/>
        </w:rPr>
        <w:t>對</w:t>
      </w:r>
      <w:r w:rsidRPr="000D2E26">
        <w:rPr>
          <w:rFonts w:ascii="Times New Roman" w:eastAsia="標楷體" w:hAnsi="Times New Roman" w:cs="Times New Roman" w:hint="eastAsia"/>
          <w:b/>
          <w:sz w:val="32"/>
          <w:szCs w:val="32"/>
        </w:rPr>
        <w:t>公務人員</w:t>
      </w:r>
      <w:r>
        <w:rPr>
          <w:rFonts w:ascii="Times New Roman" w:eastAsia="標楷體" w:hAnsi="Times New Roman" w:cs="Times New Roman" w:hint="eastAsia"/>
          <w:b/>
          <w:sz w:val="32"/>
          <w:szCs w:val="32"/>
        </w:rPr>
        <w:t>違法</w:t>
      </w:r>
      <w:r w:rsidRPr="000D2E26">
        <w:rPr>
          <w:rFonts w:ascii="Times New Roman" w:eastAsia="標楷體" w:hAnsi="Times New Roman" w:cs="Times New Roman" w:hint="eastAsia"/>
          <w:b/>
          <w:sz w:val="32"/>
          <w:szCs w:val="32"/>
        </w:rPr>
        <w:t>支給法定加給</w:t>
      </w:r>
      <w:r>
        <w:rPr>
          <w:rFonts w:ascii="標楷體" w:eastAsia="標楷體" w:hAnsi="標楷體" w:hint="eastAsia"/>
          <w:b/>
          <w:color w:val="000000" w:themeColor="text1"/>
          <w:sz w:val="32"/>
          <w:szCs w:val="32"/>
        </w:rPr>
        <w:t>或其他金錢給付</w:t>
      </w:r>
      <w:r w:rsidRPr="000D2E26">
        <w:rPr>
          <w:rFonts w:ascii="Times New Roman" w:eastAsia="標楷體" w:hAnsi="Times New Roman" w:cs="Times New Roman" w:hint="eastAsia"/>
          <w:b/>
          <w:sz w:val="32"/>
          <w:szCs w:val="32"/>
        </w:rPr>
        <w:t>部分：</w:t>
      </w:r>
    </w:p>
    <w:p w:rsidR="00560C6E" w:rsidRPr="00560C6E" w:rsidRDefault="00F512A6" w:rsidP="00560C6E">
      <w:pPr>
        <w:pStyle w:val="a3"/>
        <w:numPr>
          <w:ilvl w:val="0"/>
          <w:numId w:val="20"/>
        </w:numPr>
        <w:spacing w:line="500" w:lineRule="exact"/>
        <w:ind w:leftChars="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行政程序法</w:t>
      </w:r>
      <w:r w:rsidR="00560C6E" w:rsidRPr="00560C6E">
        <w:rPr>
          <w:rFonts w:ascii="Times New Roman" w:eastAsia="標楷體" w:hAnsi="Times New Roman" w:cs="Times New Roman"/>
          <w:sz w:val="32"/>
          <w:szCs w:val="32"/>
        </w:rPr>
        <w:t>相關法條</w:t>
      </w:r>
      <w:r w:rsidR="00560C6E">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117</w:t>
      </w:r>
      <w:r w:rsidRPr="00560C6E">
        <w:rPr>
          <w:rFonts w:ascii="Times New Roman" w:eastAsia="標楷體" w:hAnsi="Times New Roman" w:cs="Times New Roman"/>
          <w:sz w:val="32"/>
          <w:szCs w:val="32"/>
        </w:rPr>
        <w:t>條：「違法行政處分於法定救濟期間經過後，原處分機關得依職權為全部或一部之撤銷；其上級機關，亦得為之。但有下列各款情形之一者，不得撤銷︰一、撤銷對公益有重大危害者。二、受益人無第</w:t>
      </w:r>
      <w:r w:rsidRPr="00560C6E">
        <w:rPr>
          <w:rFonts w:ascii="Times New Roman" w:eastAsia="標楷體" w:hAnsi="Times New Roman" w:cs="Times New Roman"/>
          <w:sz w:val="32"/>
          <w:szCs w:val="32"/>
        </w:rPr>
        <w:t>119</w:t>
      </w:r>
      <w:r w:rsidRPr="00560C6E">
        <w:rPr>
          <w:rFonts w:ascii="Times New Roman" w:eastAsia="標楷體" w:hAnsi="Times New Roman" w:cs="Times New Roman"/>
          <w:sz w:val="32"/>
          <w:szCs w:val="32"/>
        </w:rPr>
        <w:t>條所列信賴不值得保護之情形，而信賴授予利益之行政處分，其信賴利益顯然大於撤銷所欲維護之公益者。」</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118</w:t>
      </w:r>
      <w:r w:rsidRPr="00560C6E">
        <w:rPr>
          <w:rFonts w:ascii="Times New Roman" w:eastAsia="標楷體" w:hAnsi="Times New Roman" w:cs="Times New Roman"/>
          <w:sz w:val="32"/>
          <w:szCs w:val="32"/>
        </w:rPr>
        <w:t>條：「違法行政處分經撤銷後，溯及既往失其效力。但為維護公益或為避免受益人財產上之損失，為撤銷之機關得另定失其效力之日期。」</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119</w:t>
      </w:r>
      <w:r w:rsidRPr="00560C6E">
        <w:rPr>
          <w:rFonts w:ascii="Times New Roman" w:eastAsia="標楷體" w:hAnsi="Times New Roman" w:cs="Times New Roman"/>
          <w:sz w:val="32"/>
          <w:szCs w:val="32"/>
        </w:rPr>
        <w:t>條：「受益人有下列各款情形之一者，其信賴不值得保護︰一、以詐欺、脅迫或賄賂方法，使行政機關作成行政處分者。二、對重要事項提供不正確資料或為不完全陳述，致使行政機關依該資料或陳述而作成行政處分者。三、明知行政處分違法或因重大過失而不知者。」</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127</w:t>
      </w:r>
      <w:r w:rsidRPr="00560C6E">
        <w:rPr>
          <w:rFonts w:ascii="Times New Roman" w:eastAsia="標楷體" w:hAnsi="Times New Roman" w:cs="Times New Roman"/>
          <w:sz w:val="32"/>
          <w:szCs w:val="32"/>
        </w:rPr>
        <w:t>條：「授予利益之行政處分，其內容係提供一次或連續之金錢或可分物之給付者，經撤銷、廢止或條件成就而有溯及既往失效之情形時，受益人應返還因該處分所受領之給付</w:t>
      </w:r>
      <w:r w:rsidRPr="00560C6E">
        <w:rPr>
          <w:rFonts w:ascii="Times New Roman" w:eastAsia="標楷體" w:hAnsi="Times New Roman" w:cs="Times New Roman"/>
          <w:sz w:val="32"/>
          <w:szCs w:val="32"/>
        </w:rPr>
        <w:t>……</w:t>
      </w:r>
      <w:r w:rsidRPr="00560C6E">
        <w:rPr>
          <w:rFonts w:ascii="Times New Roman" w:eastAsia="標楷體" w:hAnsi="Times New Roman" w:cs="Times New Roman"/>
          <w:sz w:val="32"/>
          <w:szCs w:val="32"/>
        </w:rPr>
        <w:t>。」</w:t>
      </w:r>
    </w:p>
    <w:p w:rsidR="00560C6E" w:rsidRPr="00560C6E" w:rsidRDefault="00560C6E" w:rsidP="00560C6E">
      <w:pPr>
        <w:spacing w:line="500" w:lineRule="exact"/>
        <w:ind w:left="960" w:hangingChars="300" w:hanging="96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二）各機關（構）學校（以下簡稱各機關）對於違法支給加給或其他金錢給付處分，如無依法不得撤銷之情形，違法處分撤銷後，原應溯及既往失其效力並追繳因該處分所受領之給付。但各機關本於職權依行政程序法第</w:t>
      </w:r>
      <w:r w:rsidRPr="00560C6E">
        <w:rPr>
          <w:rFonts w:ascii="Times New Roman" w:eastAsia="標楷體" w:hAnsi="Times New Roman" w:cs="Times New Roman"/>
          <w:sz w:val="32"/>
          <w:szCs w:val="32"/>
        </w:rPr>
        <w:t>118</w:t>
      </w:r>
      <w:r w:rsidRPr="00560C6E">
        <w:rPr>
          <w:rFonts w:ascii="Times New Roman" w:eastAsia="標楷體" w:hAnsi="Times New Roman" w:cs="Times New Roman"/>
          <w:sz w:val="32"/>
          <w:szCs w:val="32"/>
        </w:rPr>
        <w:t>條但書「另定失其效力之日期」裁量判斷時，得衡量給付原因、法安</w:t>
      </w:r>
      <w:r w:rsidRPr="00560C6E">
        <w:rPr>
          <w:rFonts w:ascii="Times New Roman" w:eastAsia="標楷體" w:hAnsi="Times New Roman" w:cs="Times New Roman"/>
          <w:sz w:val="32"/>
          <w:szCs w:val="32"/>
        </w:rPr>
        <w:lastRenderedPageBreak/>
        <w:t>定性及受益人之財產損失等因素，並得以受益人信賴是否值得保護，參考下列原則處理：</w:t>
      </w:r>
    </w:p>
    <w:p w:rsidR="00560C6E" w:rsidRPr="00560C6E" w:rsidRDefault="00560C6E" w:rsidP="00560C6E">
      <w:pPr>
        <w:pStyle w:val="a3"/>
        <w:numPr>
          <w:ilvl w:val="0"/>
          <w:numId w:val="17"/>
        </w:numPr>
        <w:spacing w:line="500" w:lineRule="exact"/>
        <w:ind w:leftChars="0" w:left="1008"/>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受益人無信賴不值得保護之情形</w:t>
      </w:r>
      <w:r>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1008"/>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參酌行政程序法第</w:t>
      </w:r>
      <w:r w:rsidRPr="00560C6E">
        <w:rPr>
          <w:rFonts w:ascii="Times New Roman" w:eastAsia="標楷體" w:hAnsi="Times New Roman" w:cs="Times New Roman"/>
          <w:sz w:val="32"/>
          <w:szCs w:val="32"/>
        </w:rPr>
        <w:t>131</w:t>
      </w:r>
      <w:r w:rsidRPr="00560C6E">
        <w:rPr>
          <w:rFonts w:ascii="Times New Roman" w:eastAsia="標楷體" w:hAnsi="Times New Roman" w:cs="Times New Roman"/>
          <w:sz w:val="32"/>
          <w:szCs w:val="32"/>
        </w:rPr>
        <w:t>條第</w:t>
      </w:r>
      <w:r w:rsidRPr="00560C6E">
        <w:rPr>
          <w:rFonts w:ascii="Times New Roman" w:eastAsia="標楷體" w:hAnsi="Times New Roman" w:cs="Times New Roman"/>
          <w:sz w:val="32"/>
          <w:szCs w:val="32"/>
        </w:rPr>
        <w:t>1</w:t>
      </w:r>
      <w:r w:rsidRPr="00560C6E">
        <w:rPr>
          <w:rFonts w:ascii="Times New Roman" w:eastAsia="標楷體" w:hAnsi="Times New Roman" w:cs="Times New Roman"/>
          <w:sz w:val="32"/>
          <w:szCs w:val="32"/>
        </w:rPr>
        <w:t>項前段有關公法上之請求權時效消滅之規定，以追繳不超過</w:t>
      </w:r>
      <w:r w:rsidRPr="00560C6E">
        <w:rPr>
          <w:rFonts w:ascii="Times New Roman" w:eastAsia="標楷體" w:hAnsi="Times New Roman" w:cs="Times New Roman"/>
          <w:sz w:val="32"/>
          <w:szCs w:val="32"/>
        </w:rPr>
        <w:t>5</w:t>
      </w:r>
      <w:r w:rsidRPr="00560C6E">
        <w:rPr>
          <w:rFonts w:ascii="Times New Roman" w:eastAsia="標楷體" w:hAnsi="Times New Roman" w:cs="Times New Roman"/>
          <w:sz w:val="32"/>
          <w:szCs w:val="32"/>
        </w:rPr>
        <w:t>年之給付為原則。</w:t>
      </w:r>
    </w:p>
    <w:p w:rsidR="00560C6E" w:rsidRPr="00560C6E" w:rsidRDefault="00560C6E" w:rsidP="00560C6E">
      <w:pPr>
        <w:pStyle w:val="a3"/>
        <w:numPr>
          <w:ilvl w:val="0"/>
          <w:numId w:val="17"/>
        </w:numPr>
        <w:spacing w:line="500" w:lineRule="exact"/>
        <w:ind w:leftChars="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受益人有信賴不值得保護之情形</w:t>
      </w:r>
      <w:r>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108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參酌民法第</w:t>
      </w:r>
      <w:r w:rsidRPr="00560C6E">
        <w:rPr>
          <w:rFonts w:ascii="Times New Roman" w:eastAsia="標楷體" w:hAnsi="Times New Roman" w:cs="Times New Roman"/>
          <w:sz w:val="32"/>
          <w:szCs w:val="32"/>
        </w:rPr>
        <w:t>125</w:t>
      </w:r>
      <w:r w:rsidRPr="00560C6E">
        <w:rPr>
          <w:rFonts w:ascii="Times New Roman" w:eastAsia="標楷體" w:hAnsi="Times New Roman" w:cs="Times New Roman"/>
          <w:sz w:val="32"/>
          <w:szCs w:val="32"/>
        </w:rPr>
        <w:t>條有關一般請求權時效消滅之規定，以追繳不超過</w:t>
      </w:r>
      <w:r w:rsidRPr="00560C6E">
        <w:rPr>
          <w:rFonts w:ascii="Times New Roman" w:eastAsia="標楷體" w:hAnsi="Times New Roman" w:cs="Times New Roman"/>
          <w:sz w:val="32"/>
          <w:szCs w:val="32"/>
        </w:rPr>
        <w:t>15</w:t>
      </w:r>
      <w:r w:rsidRPr="00560C6E">
        <w:rPr>
          <w:rFonts w:ascii="Times New Roman" w:eastAsia="標楷體" w:hAnsi="Times New Roman" w:cs="Times New Roman"/>
          <w:sz w:val="32"/>
          <w:szCs w:val="32"/>
        </w:rPr>
        <w:t>年之給付為原則。</w:t>
      </w:r>
    </w:p>
    <w:p w:rsidR="00560C6E" w:rsidRPr="00560C6E" w:rsidRDefault="00560C6E" w:rsidP="00560C6E">
      <w:pPr>
        <w:spacing w:line="500" w:lineRule="exact"/>
        <w:ind w:left="566" w:hangingChars="186" w:hanging="566"/>
        <w:jc w:val="both"/>
        <w:rPr>
          <w:rFonts w:ascii="Times New Roman" w:eastAsia="標楷體" w:hAnsi="Times New Roman" w:cs="Times New Roman"/>
          <w:b/>
          <w:sz w:val="32"/>
          <w:szCs w:val="32"/>
        </w:rPr>
      </w:pPr>
      <w:r w:rsidRPr="00560C6E">
        <w:rPr>
          <w:rFonts w:ascii="Times New Roman" w:eastAsia="標楷體" w:hAnsi="Times New Roman" w:cs="Times New Roman"/>
          <w:b/>
          <w:spacing w:val="-8"/>
          <w:sz w:val="32"/>
          <w:szCs w:val="32"/>
        </w:rPr>
        <w:t>二、對</w:t>
      </w:r>
      <w:r w:rsidRPr="00560C6E">
        <w:rPr>
          <w:rFonts w:ascii="Times New Roman" w:eastAsia="標楷體" w:hAnsi="Times New Roman" w:cs="Times New Roman"/>
          <w:b/>
          <w:sz w:val="32"/>
          <w:szCs w:val="32"/>
        </w:rPr>
        <w:t>約聘僱人員溢領報酬部分：</w:t>
      </w:r>
    </w:p>
    <w:p w:rsidR="00560C6E" w:rsidRPr="00560C6E" w:rsidRDefault="00560C6E" w:rsidP="00560C6E">
      <w:pPr>
        <w:pStyle w:val="a3"/>
        <w:numPr>
          <w:ilvl w:val="0"/>
          <w:numId w:val="19"/>
        </w:numPr>
        <w:spacing w:line="500" w:lineRule="exact"/>
        <w:ind w:leftChars="0" w:left="993" w:hanging="993"/>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各機關與約聘僱人員間所締結之聘僱契約屬行政契約，如有溢發報酬之情事，於契約存續期間，宜由各機關與該約聘僱人員合意調整契約內容後，再據以請求返還所溢領數額；如未能合意調整契約內容，或合意調整契約內容但不同意返還所溢領數額，則宜由各機關依行政訴訟法提起給付訴訟請求返還。</w:t>
      </w:r>
    </w:p>
    <w:p w:rsidR="00560C6E" w:rsidRPr="00560C6E" w:rsidRDefault="00560C6E" w:rsidP="00560C6E">
      <w:pPr>
        <w:pStyle w:val="a3"/>
        <w:numPr>
          <w:ilvl w:val="0"/>
          <w:numId w:val="19"/>
        </w:numPr>
        <w:spacing w:line="500" w:lineRule="exact"/>
        <w:ind w:leftChars="0" w:left="993" w:hanging="993"/>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為使約聘僱人員返還溢領報酬有據，避免滋生爭議，各機關可考量於聘僱契約中明定誤發報酬之處理方式（例如：本契約所約定之報酬如有違反行政院暨所屬各級機關聘用人員注意事項附表二「聘用人員比照分類職位公務人員俸點支給報酬標準表」、行政院暨所屬機關約僱人員僱用辦法附件二「約僱人員比照分類職位公務人員俸點支給報酬標準表」，及行政院所定約聘僱人員薪點折合率之規定，而致乙方﹝按：即約聘僱人員﹞有溢領報酬之情事，乙方應無條件返還所溢領之數額）。又該處理方式宜避免違反法律強制禁止規定或悖於公序良俗。</w:t>
      </w:r>
    </w:p>
    <w:p w:rsidR="0096183A" w:rsidRPr="00560C6E" w:rsidRDefault="0096183A" w:rsidP="00560C6E">
      <w:pPr>
        <w:spacing w:line="500" w:lineRule="exact"/>
        <w:jc w:val="both"/>
        <w:rPr>
          <w:rFonts w:ascii="Times New Roman" w:eastAsia="標楷體" w:hAnsi="Times New Roman" w:cs="Times New Roman"/>
          <w:sz w:val="32"/>
          <w:szCs w:val="32"/>
        </w:rPr>
      </w:pPr>
    </w:p>
    <w:sectPr w:rsidR="0096183A" w:rsidRPr="00560C6E" w:rsidSect="000D2E26">
      <w:footerReference w:type="default" r:id="rId9"/>
      <w:pgSz w:w="11906" w:h="16838"/>
      <w:pgMar w:top="1440" w:right="1418" w:bottom="1440"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2F" w:rsidRDefault="0020022F" w:rsidP="00DD5058">
      <w:r>
        <w:separator/>
      </w:r>
    </w:p>
  </w:endnote>
  <w:endnote w:type="continuationSeparator" w:id="0">
    <w:p w:rsidR="0020022F" w:rsidRDefault="0020022F" w:rsidP="00DD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559669"/>
      <w:docPartObj>
        <w:docPartGallery w:val="Page Numbers (Bottom of Page)"/>
        <w:docPartUnique/>
      </w:docPartObj>
    </w:sdtPr>
    <w:sdtEndPr/>
    <w:sdtContent>
      <w:p w:rsidR="009915EE" w:rsidRDefault="009915EE">
        <w:pPr>
          <w:pStyle w:val="a6"/>
          <w:jc w:val="center"/>
        </w:pPr>
        <w:r>
          <w:fldChar w:fldCharType="begin"/>
        </w:r>
        <w:r>
          <w:instrText>PAGE   \* MERGEFORMAT</w:instrText>
        </w:r>
        <w:r>
          <w:fldChar w:fldCharType="separate"/>
        </w:r>
        <w:r w:rsidR="00131DD6" w:rsidRPr="00131DD6">
          <w:rPr>
            <w:noProof/>
            <w:lang w:val="zh-TW"/>
          </w:rPr>
          <w:t>1</w:t>
        </w:r>
        <w:r>
          <w:fldChar w:fldCharType="end"/>
        </w:r>
      </w:p>
    </w:sdtContent>
  </w:sdt>
  <w:p w:rsidR="009915EE" w:rsidRDefault="009915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2F" w:rsidRDefault="0020022F" w:rsidP="00DD5058">
      <w:r>
        <w:separator/>
      </w:r>
    </w:p>
  </w:footnote>
  <w:footnote w:type="continuationSeparator" w:id="0">
    <w:p w:rsidR="0020022F" w:rsidRDefault="0020022F" w:rsidP="00DD5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DF6"/>
    <w:multiLevelType w:val="hybridMultilevel"/>
    <w:tmpl w:val="60D2B6D4"/>
    <w:lvl w:ilvl="0" w:tplc="6630C26E">
      <w:start w:val="1"/>
      <w:numFmt w:val="taiwaneseCountingThousand"/>
      <w:lvlText w:val="（%1）"/>
      <w:lvlJc w:val="left"/>
      <w:pPr>
        <w:ind w:left="1132" w:hanging="1080"/>
      </w:pPr>
      <w:rPr>
        <w:rFonts w:hint="default"/>
        <w:lang w:val="en-US"/>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1">
    <w:nsid w:val="098D2A16"/>
    <w:multiLevelType w:val="hybridMultilevel"/>
    <w:tmpl w:val="903855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9E2006"/>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0E3A027D"/>
    <w:multiLevelType w:val="hybridMultilevel"/>
    <w:tmpl w:val="943E998A"/>
    <w:lvl w:ilvl="0" w:tplc="CBB217E2">
      <w:start w:val="1"/>
      <w:numFmt w:val="decimal"/>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0DE3AF5"/>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
    <w:nsid w:val="22612D1E"/>
    <w:multiLevelType w:val="hybridMultilevel"/>
    <w:tmpl w:val="F47E103A"/>
    <w:lvl w:ilvl="0" w:tplc="C21408D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28DD63DD"/>
    <w:multiLevelType w:val="hybridMultilevel"/>
    <w:tmpl w:val="6F56B76C"/>
    <w:lvl w:ilvl="0" w:tplc="5B4A97F8">
      <w:start w:val="1"/>
      <w:numFmt w:val="decimal"/>
      <w:lvlText w:val="（%1）"/>
      <w:lvlJc w:val="left"/>
      <w:pPr>
        <w:ind w:left="2572" w:hanging="1080"/>
      </w:pPr>
      <w:rPr>
        <w:rFonts w:hint="default"/>
        <w:lang w:val="en-US"/>
      </w:rPr>
    </w:lvl>
    <w:lvl w:ilvl="1" w:tplc="04090019" w:tentative="1">
      <w:start w:val="1"/>
      <w:numFmt w:val="ideographTradition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7">
    <w:nsid w:val="385253FC"/>
    <w:multiLevelType w:val="hybridMultilevel"/>
    <w:tmpl w:val="478C48FA"/>
    <w:lvl w:ilvl="0" w:tplc="9E767CC6">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8">
    <w:nsid w:val="40CE603B"/>
    <w:multiLevelType w:val="hybridMultilevel"/>
    <w:tmpl w:val="EC96E9C4"/>
    <w:lvl w:ilvl="0" w:tplc="5C2EE432">
      <w:start w:val="1"/>
      <w:numFmt w:val="taiwaneseCountingThousand"/>
      <w:lvlText w:val="（%1）"/>
      <w:lvlJc w:val="left"/>
      <w:pPr>
        <w:ind w:left="2692"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1B3DD4"/>
    <w:multiLevelType w:val="hybridMultilevel"/>
    <w:tmpl w:val="CA3275E2"/>
    <w:lvl w:ilvl="0" w:tplc="F1CE1476">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CE10D57"/>
    <w:multiLevelType w:val="hybridMultilevel"/>
    <w:tmpl w:val="0AAE0D4E"/>
    <w:lvl w:ilvl="0" w:tplc="5C2EE432">
      <w:start w:val="1"/>
      <w:numFmt w:val="taiwaneseCountingThousand"/>
      <w:lvlText w:val="（%1）"/>
      <w:lvlJc w:val="left"/>
      <w:pPr>
        <w:ind w:left="2692"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E17F57"/>
    <w:multiLevelType w:val="hybridMultilevel"/>
    <w:tmpl w:val="6C0CA45E"/>
    <w:lvl w:ilvl="0" w:tplc="19DE9DD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BA521D"/>
    <w:multiLevelType w:val="hybridMultilevel"/>
    <w:tmpl w:val="478C48FA"/>
    <w:lvl w:ilvl="0" w:tplc="9E767CC6">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nsid w:val="64C76631"/>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4">
    <w:nsid w:val="670A2920"/>
    <w:multiLevelType w:val="hybridMultilevel"/>
    <w:tmpl w:val="1C8EBC08"/>
    <w:lvl w:ilvl="0" w:tplc="ED241118">
      <w:start w:val="1"/>
      <w:numFmt w:val="taiwaneseCountingThousand"/>
      <w:lvlText w:val="（%1）"/>
      <w:lvlJc w:val="left"/>
      <w:pPr>
        <w:ind w:left="1132" w:hanging="1080"/>
      </w:pPr>
      <w:rPr>
        <w:rFonts w:hint="default"/>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15">
    <w:nsid w:val="6EBB55FC"/>
    <w:multiLevelType w:val="hybridMultilevel"/>
    <w:tmpl w:val="6F56B76C"/>
    <w:lvl w:ilvl="0" w:tplc="5B4A97F8">
      <w:start w:val="1"/>
      <w:numFmt w:val="decimal"/>
      <w:lvlText w:val="（%1）"/>
      <w:lvlJc w:val="left"/>
      <w:pPr>
        <w:ind w:left="2572" w:hanging="1080"/>
      </w:pPr>
      <w:rPr>
        <w:rFonts w:hint="default"/>
        <w:lang w:val="en-US"/>
      </w:rPr>
    </w:lvl>
    <w:lvl w:ilvl="1" w:tplc="04090019" w:tentative="1">
      <w:start w:val="1"/>
      <w:numFmt w:val="ideographTradition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16">
    <w:nsid w:val="6F056412"/>
    <w:multiLevelType w:val="hybridMultilevel"/>
    <w:tmpl w:val="52227C84"/>
    <w:lvl w:ilvl="0" w:tplc="9E767CC6">
      <w:start w:val="1"/>
      <w:numFmt w:val="decimal"/>
      <w:lvlText w:val="%1."/>
      <w:lvlJc w:val="left"/>
      <w:pPr>
        <w:ind w:left="1492" w:hanging="360"/>
      </w:pPr>
      <w:rPr>
        <w:rFonts w:hint="default"/>
      </w:rPr>
    </w:lvl>
    <w:lvl w:ilvl="1" w:tplc="5C2EE432">
      <w:start w:val="1"/>
      <w:numFmt w:val="taiwaneseCountingThousand"/>
      <w:lvlText w:val="（%2）"/>
      <w:lvlJc w:val="left"/>
      <w:pPr>
        <w:ind w:left="2692" w:hanging="1080"/>
      </w:pPr>
      <w:rPr>
        <w:rFonts w:hint="default"/>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776C4966"/>
    <w:multiLevelType w:val="hybridMultilevel"/>
    <w:tmpl w:val="E1924E44"/>
    <w:lvl w:ilvl="0" w:tplc="9238F00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77A4F7C"/>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7B983E99"/>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num w:numId="1">
    <w:abstractNumId w:val="9"/>
  </w:num>
  <w:num w:numId="2">
    <w:abstractNumId w:val="14"/>
  </w:num>
  <w:num w:numId="3">
    <w:abstractNumId w:val="19"/>
  </w:num>
  <w:num w:numId="4">
    <w:abstractNumId w:val="2"/>
  </w:num>
  <w:num w:numId="5">
    <w:abstractNumId w:val="6"/>
  </w:num>
  <w:num w:numId="6">
    <w:abstractNumId w:val="13"/>
  </w:num>
  <w:num w:numId="7">
    <w:abstractNumId w:val="18"/>
  </w:num>
  <w:num w:numId="8">
    <w:abstractNumId w:val="4"/>
  </w:num>
  <w:num w:numId="9">
    <w:abstractNumId w:val="15"/>
  </w:num>
  <w:num w:numId="10">
    <w:abstractNumId w:val="0"/>
  </w:num>
  <w:num w:numId="11">
    <w:abstractNumId w:val="7"/>
  </w:num>
  <w:num w:numId="12">
    <w:abstractNumId w:val="12"/>
  </w:num>
  <w:num w:numId="13">
    <w:abstractNumId w:val="16"/>
  </w:num>
  <w:num w:numId="14">
    <w:abstractNumId w:val="11"/>
  </w:num>
  <w:num w:numId="15">
    <w:abstractNumId w:val="17"/>
  </w:num>
  <w:num w:numId="16">
    <w:abstractNumId w:val="1"/>
  </w:num>
  <w:num w:numId="17">
    <w:abstractNumId w:val="3"/>
  </w:num>
  <w:num w:numId="18">
    <w:abstractNumId w:val="8"/>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F8"/>
    <w:rsid w:val="000611FE"/>
    <w:rsid w:val="00096955"/>
    <w:rsid w:val="000B0B66"/>
    <w:rsid w:val="000D08F8"/>
    <w:rsid w:val="000D2E26"/>
    <w:rsid w:val="000D6A63"/>
    <w:rsid w:val="000E5CDE"/>
    <w:rsid w:val="00131DD6"/>
    <w:rsid w:val="00157FEE"/>
    <w:rsid w:val="001A1763"/>
    <w:rsid w:val="001A17ED"/>
    <w:rsid w:val="001D1076"/>
    <w:rsid w:val="0020022F"/>
    <w:rsid w:val="00240D6B"/>
    <w:rsid w:val="00254AFB"/>
    <w:rsid w:val="00257563"/>
    <w:rsid w:val="002A4B60"/>
    <w:rsid w:val="002D3EDD"/>
    <w:rsid w:val="00325B5A"/>
    <w:rsid w:val="003437F8"/>
    <w:rsid w:val="00354F81"/>
    <w:rsid w:val="00386C5B"/>
    <w:rsid w:val="003B7E38"/>
    <w:rsid w:val="00460C9B"/>
    <w:rsid w:val="00476950"/>
    <w:rsid w:val="00477C71"/>
    <w:rsid w:val="0049567E"/>
    <w:rsid w:val="004D6708"/>
    <w:rsid w:val="004E140E"/>
    <w:rsid w:val="00524037"/>
    <w:rsid w:val="0053215A"/>
    <w:rsid w:val="00553974"/>
    <w:rsid w:val="00560C6E"/>
    <w:rsid w:val="00560E87"/>
    <w:rsid w:val="0059298C"/>
    <w:rsid w:val="00594245"/>
    <w:rsid w:val="005A0C7F"/>
    <w:rsid w:val="005E38AA"/>
    <w:rsid w:val="00605513"/>
    <w:rsid w:val="00634FD3"/>
    <w:rsid w:val="006B0C2D"/>
    <w:rsid w:val="006B4DBE"/>
    <w:rsid w:val="006C705A"/>
    <w:rsid w:val="006D47A4"/>
    <w:rsid w:val="006D55B4"/>
    <w:rsid w:val="00703250"/>
    <w:rsid w:val="007448C2"/>
    <w:rsid w:val="007477DD"/>
    <w:rsid w:val="007521BD"/>
    <w:rsid w:val="00752C7A"/>
    <w:rsid w:val="00755A73"/>
    <w:rsid w:val="00772FAE"/>
    <w:rsid w:val="007C2439"/>
    <w:rsid w:val="007F1779"/>
    <w:rsid w:val="00803AC7"/>
    <w:rsid w:val="008661E3"/>
    <w:rsid w:val="008B5819"/>
    <w:rsid w:val="00920033"/>
    <w:rsid w:val="009353AD"/>
    <w:rsid w:val="0096183A"/>
    <w:rsid w:val="009665D0"/>
    <w:rsid w:val="009915EE"/>
    <w:rsid w:val="009D4157"/>
    <w:rsid w:val="009E0D5B"/>
    <w:rsid w:val="00A17517"/>
    <w:rsid w:val="00A2769B"/>
    <w:rsid w:val="00A902FD"/>
    <w:rsid w:val="00AE3609"/>
    <w:rsid w:val="00B0303E"/>
    <w:rsid w:val="00B32B95"/>
    <w:rsid w:val="00B951B4"/>
    <w:rsid w:val="00BC52C7"/>
    <w:rsid w:val="00C005C2"/>
    <w:rsid w:val="00C62FFA"/>
    <w:rsid w:val="00C93233"/>
    <w:rsid w:val="00CA3F84"/>
    <w:rsid w:val="00D1202C"/>
    <w:rsid w:val="00D2271F"/>
    <w:rsid w:val="00D93647"/>
    <w:rsid w:val="00D9547A"/>
    <w:rsid w:val="00DD5058"/>
    <w:rsid w:val="00DF146A"/>
    <w:rsid w:val="00E35140"/>
    <w:rsid w:val="00E602C7"/>
    <w:rsid w:val="00E84F31"/>
    <w:rsid w:val="00E96A4D"/>
    <w:rsid w:val="00EB4D07"/>
    <w:rsid w:val="00F110A0"/>
    <w:rsid w:val="00F20819"/>
    <w:rsid w:val="00F34687"/>
    <w:rsid w:val="00F40D4C"/>
    <w:rsid w:val="00F512A6"/>
    <w:rsid w:val="00F5730C"/>
    <w:rsid w:val="00F90018"/>
    <w:rsid w:val="00FD05E6"/>
    <w:rsid w:val="00FE25BB"/>
    <w:rsid w:val="00FF3620"/>
    <w:rsid w:val="00FF6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7F8"/>
    <w:pPr>
      <w:ind w:leftChars="200" w:left="480"/>
    </w:pPr>
  </w:style>
  <w:style w:type="paragraph" w:styleId="a4">
    <w:name w:val="header"/>
    <w:basedOn w:val="a"/>
    <w:link w:val="a5"/>
    <w:uiPriority w:val="99"/>
    <w:unhideWhenUsed/>
    <w:rsid w:val="00DD5058"/>
    <w:pPr>
      <w:tabs>
        <w:tab w:val="center" w:pos="4153"/>
        <w:tab w:val="right" w:pos="8306"/>
      </w:tabs>
      <w:snapToGrid w:val="0"/>
    </w:pPr>
    <w:rPr>
      <w:sz w:val="20"/>
      <w:szCs w:val="20"/>
    </w:rPr>
  </w:style>
  <w:style w:type="character" w:customStyle="1" w:styleId="a5">
    <w:name w:val="頁首 字元"/>
    <w:basedOn w:val="a0"/>
    <w:link w:val="a4"/>
    <w:uiPriority w:val="99"/>
    <w:rsid w:val="00DD5058"/>
    <w:rPr>
      <w:sz w:val="20"/>
      <w:szCs w:val="20"/>
    </w:rPr>
  </w:style>
  <w:style w:type="paragraph" w:styleId="a6">
    <w:name w:val="footer"/>
    <w:basedOn w:val="a"/>
    <w:link w:val="a7"/>
    <w:uiPriority w:val="99"/>
    <w:unhideWhenUsed/>
    <w:rsid w:val="00DD5058"/>
    <w:pPr>
      <w:tabs>
        <w:tab w:val="center" w:pos="4153"/>
        <w:tab w:val="right" w:pos="8306"/>
      </w:tabs>
      <w:snapToGrid w:val="0"/>
    </w:pPr>
    <w:rPr>
      <w:sz w:val="20"/>
      <w:szCs w:val="20"/>
    </w:rPr>
  </w:style>
  <w:style w:type="character" w:customStyle="1" w:styleId="a7">
    <w:name w:val="頁尾 字元"/>
    <w:basedOn w:val="a0"/>
    <w:link w:val="a6"/>
    <w:uiPriority w:val="99"/>
    <w:rsid w:val="00DD5058"/>
    <w:rPr>
      <w:sz w:val="20"/>
      <w:szCs w:val="20"/>
    </w:rPr>
  </w:style>
  <w:style w:type="paragraph" w:styleId="a8">
    <w:name w:val="Balloon Text"/>
    <w:basedOn w:val="a"/>
    <w:link w:val="a9"/>
    <w:uiPriority w:val="99"/>
    <w:semiHidden/>
    <w:unhideWhenUsed/>
    <w:rsid w:val="009E0D5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0D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0C6E"/>
    <w:rPr>
      <w:sz w:val="18"/>
      <w:szCs w:val="18"/>
    </w:rPr>
  </w:style>
  <w:style w:type="paragraph" w:styleId="ab">
    <w:name w:val="annotation text"/>
    <w:basedOn w:val="a"/>
    <w:link w:val="ac"/>
    <w:uiPriority w:val="99"/>
    <w:semiHidden/>
    <w:unhideWhenUsed/>
    <w:rsid w:val="00560C6E"/>
  </w:style>
  <w:style w:type="character" w:customStyle="1" w:styleId="ac">
    <w:name w:val="註解文字 字元"/>
    <w:basedOn w:val="a0"/>
    <w:link w:val="ab"/>
    <w:uiPriority w:val="99"/>
    <w:semiHidden/>
    <w:rsid w:val="00560C6E"/>
  </w:style>
  <w:style w:type="paragraph" w:styleId="ad">
    <w:name w:val="annotation subject"/>
    <w:basedOn w:val="ab"/>
    <w:next w:val="ab"/>
    <w:link w:val="ae"/>
    <w:uiPriority w:val="99"/>
    <w:semiHidden/>
    <w:unhideWhenUsed/>
    <w:rsid w:val="00560C6E"/>
    <w:rPr>
      <w:b/>
      <w:bCs/>
    </w:rPr>
  </w:style>
  <w:style w:type="character" w:customStyle="1" w:styleId="ae">
    <w:name w:val="註解主旨 字元"/>
    <w:basedOn w:val="ac"/>
    <w:link w:val="ad"/>
    <w:uiPriority w:val="99"/>
    <w:semiHidden/>
    <w:rsid w:val="00560C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7F8"/>
    <w:pPr>
      <w:ind w:leftChars="200" w:left="480"/>
    </w:pPr>
  </w:style>
  <w:style w:type="paragraph" w:styleId="a4">
    <w:name w:val="header"/>
    <w:basedOn w:val="a"/>
    <w:link w:val="a5"/>
    <w:uiPriority w:val="99"/>
    <w:unhideWhenUsed/>
    <w:rsid w:val="00DD5058"/>
    <w:pPr>
      <w:tabs>
        <w:tab w:val="center" w:pos="4153"/>
        <w:tab w:val="right" w:pos="8306"/>
      </w:tabs>
      <w:snapToGrid w:val="0"/>
    </w:pPr>
    <w:rPr>
      <w:sz w:val="20"/>
      <w:szCs w:val="20"/>
    </w:rPr>
  </w:style>
  <w:style w:type="character" w:customStyle="1" w:styleId="a5">
    <w:name w:val="頁首 字元"/>
    <w:basedOn w:val="a0"/>
    <w:link w:val="a4"/>
    <w:uiPriority w:val="99"/>
    <w:rsid w:val="00DD5058"/>
    <w:rPr>
      <w:sz w:val="20"/>
      <w:szCs w:val="20"/>
    </w:rPr>
  </w:style>
  <w:style w:type="paragraph" w:styleId="a6">
    <w:name w:val="footer"/>
    <w:basedOn w:val="a"/>
    <w:link w:val="a7"/>
    <w:uiPriority w:val="99"/>
    <w:unhideWhenUsed/>
    <w:rsid w:val="00DD5058"/>
    <w:pPr>
      <w:tabs>
        <w:tab w:val="center" w:pos="4153"/>
        <w:tab w:val="right" w:pos="8306"/>
      </w:tabs>
      <w:snapToGrid w:val="0"/>
    </w:pPr>
    <w:rPr>
      <w:sz w:val="20"/>
      <w:szCs w:val="20"/>
    </w:rPr>
  </w:style>
  <w:style w:type="character" w:customStyle="1" w:styleId="a7">
    <w:name w:val="頁尾 字元"/>
    <w:basedOn w:val="a0"/>
    <w:link w:val="a6"/>
    <w:uiPriority w:val="99"/>
    <w:rsid w:val="00DD5058"/>
    <w:rPr>
      <w:sz w:val="20"/>
      <w:szCs w:val="20"/>
    </w:rPr>
  </w:style>
  <w:style w:type="paragraph" w:styleId="a8">
    <w:name w:val="Balloon Text"/>
    <w:basedOn w:val="a"/>
    <w:link w:val="a9"/>
    <w:uiPriority w:val="99"/>
    <w:semiHidden/>
    <w:unhideWhenUsed/>
    <w:rsid w:val="009E0D5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0D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0C6E"/>
    <w:rPr>
      <w:sz w:val="18"/>
      <w:szCs w:val="18"/>
    </w:rPr>
  </w:style>
  <w:style w:type="paragraph" w:styleId="ab">
    <w:name w:val="annotation text"/>
    <w:basedOn w:val="a"/>
    <w:link w:val="ac"/>
    <w:uiPriority w:val="99"/>
    <w:semiHidden/>
    <w:unhideWhenUsed/>
    <w:rsid w:val="00560C6E"/>
  </w:style>
  <w:style w:type="character" w:customStyle="1" w:styleId="ac">
    <w:name w:val="註解文字 字元"/>
    <w:basedOn w:val="a0"/>
    <w:link w:val="ab"/>
    <w:uiPriority w:val="99"/>
    <w:semiHidden/>
    <w:rsid w:val="00560C6E"/>
  </w:style>
  <w:style w:type="paragraph" w:styleId="ad">
    <w:name w:val="annotation subject"/>
    <w:basedOn w:val="ab"/>
    <w:next w:val="ab"/>
    <w:link w:val="ae"/>
    <w:uiPriority w:val="99"/>
    <w:semiHidden/>
    <w:unhideWhenUsed/>
    <w:rsid w:val="00560C6E"/>
    <w:rPr>
      <w:b/>
      <w:bCs/>
    </w:rPr>
  </w:style>
  <w:style w:type="character" w:customStyle="1" w:styleId="ae">
    <w:name w:val="註解主旨 字元"/>
    <w:basedOn w:val="ac"/>
    <w:link w:val="ad"/>
    <w:uiPriority w:val="99"/>
    <w:semiHidden/>
    <w:rsid w:val="00560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1844B-0241-4D96-871D-918A385E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呂志彥</cp:lastModifiedBy>
  <cp:revision>3</cp:revision>
  <cp:lastPrinted>2014-08-29T08:50:00Z</cp:lastPrinted>
  <dcterms:created xsi:type="dcterms:W3CDTF">2014-09-09T01:36:00Z</dcterms:created>
  <dcterms:modified xsi:type="dcterms:W3CDTF">2014-09-09T02:03:00Z</dcterms:modified>
</cp:coreProperties>
</file>