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B48" w:rsidRDefault="00865E3F">
      <w:pPr>
        <w:pStyle w:val="Standard"/>
        <w:spacing w:line="460" w:lineRule="exact"/>
        <w:jc w:val="center"/>
        <w:rPr>
          <w:rFonts w:ascii="標楷體" w:eastAsia="標楷體" w:hAnsi="標楷體" w:cs="標楷體"/>
          <w:b/>
          <w:color w:val="000000"/>
          <w:sz w:val="40"/>
          <w:szCs w:val="40"/>
        </w:rPr>
      </w:pPr>
      <w:bookmarkStart w:id="0" w:name="_GoBack"/>
      <w:r>
        <w:rPr>
          <w:rFonts w:ascii="標楷體" w:eastAsia="標楷體" w:hAnsi="標楷體" w:cs="標楷體"/>
          <w:b/>
          <w:color w:val="000000"/>
          <w:sz w:val="40"/>
          <w:szCs w:val="40"/>
        </w:rPr>
        <w:t>高級中等學校免試入學作業要點訂定應遵行事項</w:t>
      </w:r>
    </w:p>
    <w:p w:rsidR="008B7B48" w:rsidRDefault="00865E3F">
      <w:pPr>
        <w:pStyle w:val="Standard"/>
        <w:spacing w:line="460" w:lineRule="exact"/>
        <w:jc w:val="center"/>
        <w:rPr>
          <w:rFonts w:ascii="標楷體" w:eastAsia="標楷體" w:hAnsi="標楷體" w:cs="標楷體"/>
          <w:b/>
          <w:color w:val="000000"/>
          <w:sz w:val="40"/>
          <w:szCs w:val="40"/>
        </w:rPr>
      </w:pPr>
      <w:r>
        <w:rPr>
          <w:rFonts w:ascii="標楷體" w:eastAsia="標楷體" w:hAnsi="標楷體" w:cs="標楷體"/>
          <w:b/>
          <w:color w:val="000000"/>
          <w:sz w:val="40"/>
          <w:szCs w:val="40"/>
        </w:rPr>
        <w:t>第四點、第七點修正規定</w:t>
      </w:r>
    </w:p>
    <w:bookmarkEnd w:id="0"/>
    <w:p w:rsidR="008B7B48" w:rsidRDefault="008B7B48">
      <w:pPr>
        <w:pStyle w:val="Standard"/>
        <w:spacing w:line="460" w:lineRule="exact"/>
        <w:jc w:val="center"/>
        <w:rPr>
          <w:rFonts w:ascii="標楷體" w:eastAsia="標楷體" w:hAnsi="標楷體" w:cs="標楷體"/>
          <w:b/>
          <w:color w:val="000000"/>
          <w:sz w:val="28"/>
          <w:szCs w:val="28"/>
        </w:rPr>
      </w:pPr>
    </w:p>
    <w:p w:rsidR="008B7B48" w:rsidRDefault="00865E3F">
      <w:pPr>
        <w:pStyle w:val="Standard"/>
        <w:spacing w:line="460" w:lineRule="exact"/>
        <w:ind w:left="566" w:hanging="566"/>
        <w:rPr>
          <w:rFonts w:ascii="標楷體" w:eastAsia="標楷體" w:hAnsi="標楷體" w:cs="標楷體"/>
          <w:color w:val="000000"/>
          <w:sz w:val="28"/>
          <w:szCs w:val="28"/>
        </w:rPr>
      </w:pPr>
      <w:r>
        <w:rPr>
          <w:rFonts w:ascii="標楷體" w:eastAsia="標楷體" w:hAnsi="標楷體" w:cs="標楷體"/>
          <w:color w:val="000000"/>
          <w:sz w:val="28"/>
          <w:szCs w:val="28"/>
        </w:rPr>
        <w:t>四、前點第七款比序項目及運作模式，應符合下列規定：</w:t>
      </w:r>
    </w:p>
    <w:p w:rsidR="008B7B48" w:rsidRDefault="00865E3F">
      <w:pPr>
        <w:pStyle w:val="Standard"/>
        <w:spacing w:line="460" w:lineRule="exact"/>
        <w:ind w:left="1840" w:right="24" w:hanging="1274"/>
        <w:jc w:val="both"/>
        <w:rPr>
          <w:rFonts w:ascii="標楷體" w:eastAsia="標楷體" w:hAnsi="標楷體" w:cs="標楷體"/>
          <w:color w:val="000000"/>
          <w:sz w:val="28"/>
          <w:szCs w:val="28"/>
        </w:rPr>
      </w:pPr>
      <w:r>
        <w:rPr>
          <w:rFonts w:ascii="標楷體" w:eastAsia="標楷體" w:hAnsi="標楷體" w:cs="標楷體"/>
          <w:color w:val="000000"/>
          <w:sz w:val="28"/>
          <w:szCs w:val="28"/>
        </w:rPr>
        <w:t>（一）符合教育性、公平性、可操作性原則，規定如下：</w:t>
      </w:r>
    </w:p>
    <w:p w:rsidR="008B7B48" w:rsidRDefault="00865E3F">
      <w:pPr>
        <w:pStyle w:val="Standard"/>
        <w:spacing w:line="460" w:lineRule="exact"/>
        <w:ind w:left="1838" w:right="24" w:hanging="420"/>
        <w:jc w:val="both"/>
      </w:pPr>
      <w:r>
        <w:rPr>
          <w:rFonts w:ascii="標楷體" w:eastAsia="標楷體" w:hAnsi="標楷體" w:cs="標楷體"/>
          <w:color w:val="000000"/>
          <w:sz w:val="28"/>
          <w:szCs w:val="28"/>
        </w:rPr>
        <w:t>1、教育性：比序項目應符合教育目標，如培養五育均衡發展、重視學生多元智能、舒緩升學壓力，以</w:t>
      </w:r>
      <w:r>
        <w:rPr>
          <w:rFonts w:ascii="標楷體" w:eastAsia="標楷體" w:hAnsi="標楷體" w:cs="細明體, MingLiU"/>
          <w:color w:val="000000"/>
          <w:sz w:val="28"/>
          <w:szCs w:val="28"/>
        </w:rPr>
        <w:t>達成</w:t>
      </w:r>
      <w:r>
        <w:rPr>
          <w:rFonts w:ascii="標楷體" w:eastAsia="標楷體" w:hAnsi="標楷體" w:cs="標楷體"/>
          <w:color w:val="000000"/>
          <w:sz w:val="28"/>
          <w:szCs w:val="28"/>
        </w:rPr>
        <w:t>學生適性發展。</w:t>
      </w:r>
    </w:p>
    <w:p w:rsidR="008B7B48" w:rsidRDefault="00865E3F">
      <w:pPr>
        <w:pStyle w:val="Standard"/>
        <w:spacing w:line="460" w:lineRule="exact"/>
        <w:ind w:left="1838" w:right="24"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2、公平性：比序項目應符合公平原則，促進教育機會均等。</w:t>
      </w:r>
    </w:p>
    <w:p w:rsidR="008B7B48" w:rsidRDefault="00865E3F">
      <w:pPr>
        <w:pStyle w:val="Standard"/>
        <w:spacing w:line="460" w:lineRule="exact"/>
        <w:ind w:left="1838" w:right="24"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3、可操作性：比序項目應兼顧入學管道之可行性及完整性。</w:t>
      </w:r>
    </w:p>
    <w:p w:rsidR="008B7B48" w:rsidRDefault="00865E3F">
      <w:pPr>
        <w:pStyle w:val="Standard"/>
        <w:spacing w:line="460" w:lineRule="exact"/>
        <w:ind w:left="1840" w:right="24" w:hanging="1274"/>
        <w:jc w:val="both"/>
        <w:rPr>
          <w:rFonts w:ascii="標楷體" w:eastAsia="標楷體" w:hAnsi="標楷體" w:cs="標楷體"/>
          <w:color w:val="000000"/>
          <w:sz w:val="28"/>
          <w:szCs w:val="28"/>
        </w:rPr>
      </w:pPr>
      <w:r>
        <w:rPr>
          <w:rFonts w:ascii="標楷體" w:eastAsia="標楷體" w:hAnsi="標楷體" w:cs="標楷體"/>
          <w:color w:val="000000"/>
          <w:sz w:val="28"/>
          <w:szCs w:val="28"/>
        </w:rPr>
        <w:t>（二）國中教育會考項目：</w:t>
      </w:r>
    </w:p>
    <w:p w:rsidR="008B7B48" w:rsidRDefault="00865E3F">
      <w:pPr>
        <w:pStyle w:val="Standard"/>
        <w:spacing w:line="460" w:lineRule="exact"/>
        <w:ind w:left="1838" w:right="24"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1、是否採計由各區因地制宜。但不得列為唯一項目，應搭配其他比序項目整體規劃。</w:t>
      </w:r>
    </w:p>
    <w:p w:rsidR="008B7B48" w:rsidRDefault="00865E3F">
      <w:pPr>
        <w:pStyle w:val="Standard"/>
        <w:spacing w:line="460" w:lineRule="exact"/>
        <w:ind w:left="1838" w:right="24"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2、超額比序項目包括國中教育會考總標示（總積點）者，其順次應置於多元學習表現項目總積分之後，並置於國中教育會考各科標示比序之前；比序項目包括國中教育會考三等級總積分者，總標示（總積點）並應置於三等級總積分之後。</w:t>
      </w:r>
    </w:p>
    <w:p w:rsidR="008B7B48" w:rsidRDefault="00865E3F">
      <w:pPr>
        <w:pStyle w:val="Standard"/>
        <w:spacing w:line="460" w:lineRule="exact"/>
        <w:ind w:left="1840" w:right="24" w:hanging="1274"/>
        <w:jc w:val="both"/>
        <w:rPr>
          <w:rFonts w:ascii="標楷體" w:eastAsia="標楷體" w:hAnsi="標楷體" w:cs="標楷體"/>
          <w:color w:val="000000"/>
          <w:sz w:val="28"/>
          <w:szCs w:val="28"/>
        </w:rPr>
      </w:pPr>
      <w:r>
        <w:rPr>
          <w:rFonts w:ascii="標楷體" w:eastAsia="標楷體" w:hAnsi="標楷體" w:cs="標楷體"/>
          <w:color w:val="000000"/>
          <w:sz w:val="28"/>
          <w:szCs w:val="28"/>
        </w:rPr>
        <w:t>（三）志願序項目：</w:t>
      </w:r>
    </w:p>
    <w:p w:rsidR="008B7B48" w:rsidRDefault="00865E3F">
      <w:pPr>
        <w:pStyle w:val="Standard"/>
        <w:spacing w:line="460" w:lineRule="exact"/>
        <w:ind w:left="1838" w:right="24"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1、普通型高級中等學校以校為原則；技術型高級中等學校得以校、群、科為志願序。</w:t>
      </w:r>
    </w:p>
    <w:p w:rsidR="008B7B48" w:rsidRDefault="00865E3F">
      <w:pPr>
        <w:pStyle w:val="Standard"/>
        <w:spacing w:line="460" w:lineRule="exact"/>
        <w:ind w:left="1838" w:right="24"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2、是否採計由各區因地制宜考量；採計志願序者，以群組計分為原則，高低分積分差異不宜過大。</w:t>
      </w:r>
    </w:p>
    <w:p w:rsidR="008B7B48" w:rsidRDefault="00865E3F">
      <w:pPr>
        <w:pStyle w:val="Standard"/>
        <w:spacing w:line="460" w:lineRule="exact"/>
        <w:ind w:left="1840" w:right="24" w:hanging="1274"/>
        <w:jc w:val="both"/>
        <w:rPr>
          <w:rFonts w:ascii="標楷體" w:eastAsia="標楷體" w:hAnsi="標楷體" w:cs="標楷體"/>
          <w:color w:val="000000"/>
          <w:sz w:val="28"/>
          <w:szCs w:val="28"/>
        </w:rPr>
      </w:pPr>
      <w:r>
        <w:rPr>
          <w:rFonts w:ascii="標楷體" w:eastAsia="標楷體" w:hAnsi="標楷體" w:cs="標楷體"/>
          <w:color w:val="000000"/>
          <w:sz w:val="28"/>
          <w:szCs w:val="28"/>
        </w:rPr>
        <w:t>（四）多元學習表現項目採計原則如附件。</w:t>
      </w:r>
    </w:p>
    <w:p w:rsidR="008B7B48" w:rsidRDefault="008B7B48">
      <w:pPr>
        <w:pStyle w:val="Standard"/>
        <w:spacing w:line="460" w:lineRule="exact"/>
        <w:rPr>
          <w:rFonts w:ascii="標楷體" w:eastAsia="標楷體" w:hAnsi="標楷體" w:cs="標楷體"/>
          <w:color w:val="000000"/>
          <w:sz w:val="28"/>
          <w:szCs w:val="28"/>
        </w:rPr>
      </w:pPr>
    </w:p>
    <w:p w:rsidR="008B7B48" w:rsidRDefault="00865E3F">
      <w:pPr>
        <w:pStyle w:val="Standard"/>
        <w:spacing w:line="460" w:lineRule="exact"/>
        <w:ind w:left="566" w:hanging="566"/>
        <w:rPr>
          <w:rFonts w:ascii="標楷體" w:eastAsia="標楷體" w:hAnsi="標楷體" w:cs="標楷體"/>
          <w:color w:val="000000"/>
          <w:sz w:val="28"/>
          <w:szCs w:val="28"/>
        </w:rPr>
      </w:pPr>
      <w:r>
        <w:rPr>
          <w:rFonts w:ascii="標楷體" w:eastAsia="標楷體" w:hAnsi="標楷體" w:cs="標楷體"/>
          <w:color w:val="000000"/>
          <w:sz w:val="28"/>
          <w:szCs w:val="28"/>
        </w:rPr>
        <w:t>七、技藝技能優良學生甄審入學、國中技藝教育課程（班）畢業生分發實用技能學程（班）、建教合作班、技術型及單科型高級中等學校單獨辦理免試招生、身心障礙學生入學等，得由各主管機關另定招生方式及其他應遵行事項。</w:t>
      </w:r>
    </w:p>
    <w:p w:rsidR="008B7B48" w:rsidRDefault="00865E3F">
      <w:pPr>
        <w:pStyle w:val="Standard"/>
        <w:pageBreakBefore/>
        <w:spacing w:line="460" w:lineRule="exact"/>
        <w:jc w:val="center"/>
        <w:rPr>
          <w:rFonts w:ascii="標楷體" w:eastAsia="標楷體" w:hAnsi="標楷體" w:cs="標楷體"/>
          <w:b/>
          <w:color w:val="000000"/>
          <w:sz w:val="40"/>
          <w:szCs w:val="40"/>
        </w:rPr>
      </w:pPr>
      <w:r>
        <w:rPr>
          <w:rFonts w:ascii="標楷體" w:eastAsia="標楷體" w:hAnsi="標楷體" w:cs="標楷體"/>
          <w:b/>
          <w:color w:val="000000"/>
          <w:sz w:val="40"/>
          <w:szCs w:val="40"/>
        </w:rPr>
        <w:lastRenderedPageBreak/>
        <w:t>第四點附件：多元學習表現項目採計原則</w:t>
      </w:r>
    </w:p>
    <w:p w:rsidR="008B7B48" w:rsidRDefault="00865E3F">
      <w:pPr>
        <w:pStyle w:val="Standard"/>
        <w:spacing w:line="460" w:lineRule="exact"/>
        <w:jc w:val="center"/>
        <w:rPr>
          <w:rFonts w:ascii="標楷體" w:eastAsia="標楷體" w:hAnsi="標楷體" w:cs="標楷體"/>
          <w:b/>
          <w:color w:val="000000"/>
          <w:sz w:val="40"/>
          <w:szCs w:val="40"/>
        </w:rPr>
      </w:pPr>
      <w:r>
        <w:rPr>
          <w:rFonts w:ascii="標楷體" w:eastAsia="標楷體" w:hAnsi="標楷體" w:cs="標楷體"/>
          <w:b/>
          <w:color w:val="000000"/>
          <w:sz w:val="40"/>
          <w:szCs w:val="40"/>
        </w:rPr>
        <w:t>修正規定</w:t>
      </w:r>
    </w:p>
    <w:p w:rsidR="008B7B48" w:rsidRDefault="00865E3F">
      <w:pPr>
        <w:pStyle w:val="Standard"/>
        <w:spacing w:line="460" w:lineRule="exact"/>
        <w:ind w:left="566" w:hanging="566"/>
        <w:rPr>
          <w:rFonts w:ascii="標楷體" w:eastAsia="標楷體" w:hAnsi="標楷體" w:cs="標楷體"/>
          <w:bCs/>
          <w:color w:val="000000"/>
          <w:sz w:val="28"/>
          <w:szCs w:val="28"/>
        </w:rPr>
      </w:pPr>
      <w:r>
        <w:rPr>
          <w:rFonts w:ascii="標楷體" w:eastAsia="標楷體" w:hAnsi="標楷體" w:cs="標楷體"/>
          <w:bCs/>
          <w:color w:val="000000"/>
          <w:sz w:val="28"/>
          <w:szCs w:val="28"/>
        </w:rPr>
        <w:t>一、各就學區（以下簡稱各區）訂定多元學習表現規範時，應符合下列原則：</w:t>
      </w:r>
    </w:p>
    <w:p w:rsidR="008B7B48" w:rsidRDefault="00865E3F">
      <w:pPr>
        <w:pStyle w:val="Standard"/>
        <w:snapToGrid w:val="0"/>
        <w:spacing w:line="460" w:lineRule="exact"/>
        <w:ind w:right="-82" w:firstLine="566"/>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（一）適性均衡：以學生皆可達成之學習目標，設定基本採計門檻。</w:t>
      </w:r>
    </w:p>
    <w:p w:rsidR="008B7B48" w:rsidRDefault="00865E3F">
      <w:pPr>
        <w:pStyle w:val="Standard"/>
        <w:snapToGrid w:val="0"/>
        <w:spacing w:line="460" w:lineRule="exact"/>
        <w:ind w:right="-82" w:firstLine="566"/>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（二）規範明確：</w:t>
      </w:r>
    </w:p>
    <w:p w:rsidR="008B7B48" w:rsidRDefault="00865E3F">
      <w:pPr>
        <w:pStyle w:val="Standard"/>
        <w:snapToGrid w:val="0"/>
        <w:spacing w:line="460" w:lineRule="exact"/>
        <w:ind w:left="1841" w:right="-82" w:hanging="423"/>
        <w:jc w:val="both"/>
      </w:pPr>
      <w:r>
        <w:rPr>
          <w:rFonts w:ascii="標楷體" w:eastAsia="標楷體" w:hAnsi="標楷體" w:cs="標楷體"/>
          <w:bCs/>
          <w:color w:val="000000"/>
          <w:sz w:val="28"/>
          <w:szCs w:val="28"/>
        </w:rPr>
        <w:t>1、定義明確：述明採計項目及定義，由直轄市、縣(市)政府統一訂定並公告。</w:t>
      </w:r>
    </w:p>
    <w:p w:rsidR="008B7B48" w:rsidRDefault="00865E3F">
      <w:pPr>
        <w:pStyle w:val="Standard"/>
        <w:snapToGrid w:val="0"/>
        <w:spacing w:line="460" w:lineRule="exact"/>
        <w:ind w:left="1841" w:right="-82" w:hanging="423"/>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2、採計明確：同一事由同時獲得獎勵及其他超額比序採計項目分數時，以擇一方式計分，不重複給分。</w:t>
      </w:r>
    </w:p>
    <w:p w:rsidR="008B7B48" w:rsidRDefault="00865E3F">
      <w:pPr>
        <w:pStyle w:val="Standard"/>
        <w:snapToGrid w:val="0"/>
        <w:spacing w:line="460" w:lineRule="exact"/>
        <w:ind w:right="-82" w:firstLine="566"/>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（三）程序完備：各區研訂時應廣納各界意見，並定期檢討。</w:t>
      </w:r>
    </w:p>
    <w:p w:rsidR="008B7B48" w:rsidRDefault="00865E3F">
      <w:pPr>
        <w:pStyle w:val="Standard"/>
        <w:spacing w:line="460" w:lineRule="exact"/>
        <w:ind w:left="566" w:hanging="566"/>
        <w:rPr>
          <w:rFonts w:ascii="標楷體" w:eastAsia="標楷體" w:hAnsi="標楷體" w:cs="標楷體"/>
          <w:bCs/>
          <w:color w:val="000000"/>
          <w:sz w:val="28"/>
          <w:szCs w:val="28"/>
        </w:rPr>
      </w:pPr>
      <w:r>
        <w:rPr>
          <w:rFonts w:ascii="標楷體" w:eastAsia="標楷體" w:hAnsi="標楷體" w:cs="標楷體"/>
          <w:bCs/>
          <w:color w:val="000000"/>
          <w:sz w:val="28"/>
          <w:szCs w:val="28"/>
        </w:rPr>
        <w:t>二、「體適能」項目採計原則：</w:t>
      </w:r>
    </w:p>
    <w:p w:rsidR="008B7B48" w:rsidRDefault="00865E3F">
      <w:pPr>
        <w:pStyle w:val="Standard"/>
        <w:snapToGrid w:val="0"/>
        <w:spacing w:line="460" w:lineRule="exact"/>
        <w:ind w:left="1414" w:right="-82" w:hanging="848"/>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（一）體適能檢測項目參照教育部（以下簡稱本部）公布之體適能常模，依不同性別及年齡，各單項檢測成績門檻標準如下：</w:t>
      </w:r>
    </w:p>
    <w:tbl>
      <w:tblPr>
        <w:tblW w:w="9535" w:type="dxa"/>
        <w:tblInd w:w="-118" w:type="dxa"/>
        <w:tblLayout w:type="fixed"/>
        <w:tblCellMar>
          <w:left w:w="10" w:type="dxa"/>
          <w:right w:w="10" w:type="dxa"/>
        </w:tblCellMar>
        <w:tblLook w:val="0000"/>
      </w:tblPr>
      <w:tblGrid>
        <w:gridCol w:w="3353"/>
        <w:gridCol w:w="758"/>
        <w:gridCol w:w="709"/>
        <w:gridCol w:w="720"/>
        <w:gridCol w:w="720"/>
        <w:gridCol w:w="720"/>
        <w:gridCol w:w="720"/>
        <w:gridCol w:w="974"/>
        <w:gridCol w:w="861"/>
      </w:tblGrid>
      <w:tr w:rsidR="008B7B48">
        <w:trPr>
          <w:cantSplit/>
        </w:trPr>
        <w:tc>
          <w:tcPr>
            <w:tcW w:w="33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8B7B48" w:rsidRDefault="00865E3F">
            <w:pPr>
              <w:pStyle w:val="Standard"/>
              <w:snapToGrid w:val="0"/>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項 目</w:t>
            </w:r>
          </w:p>
        </w:tc>
        <w:tc>
          <w:tcPr>
            <w:tcW w:w="2907"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男生</w:t>
            </w:r>
          </w:p>
        </w:tc>
        <w:tc>
          <w:tcPr>
            <w:tcW w:w="327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女生</w:t>
            </w:r>
          </w:p>
        </w:tc>
      </w:tr>
      <w:tr w:rsidR="008B7B48">
        <w:trPr>
          <w:cantSplit/>
          <w:trHeight w:val="336"/>
        </w:trPr>
        <w:tc>
          <w:tcPr>
            <w:tcW w:w="335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D96F02" w:rsidRDefault="00D96F02">
            <w:pPr>
              <w:rPr>
                <w:rFonts w:hint="eastAsia"/>
              </w:rPr>
            </w:pP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w w:val="75"/>
                <w:sz w:val="28"/>
                <w:szCs w:val="28"/>
              </w:rPr>
            </w:pPr>
            <w:r>
              <w:rPr>
                <w:rFonts w:ascii="標楷體" w:eastAsia="標楷體" w:hAnsi="標楷體" w:cs="標楷體"/>
                <w:color w:val="000000"/>
                <w:w w:val="75"/>
                <w:sz w:val="28"/>
                <w:szCs w:val="28"/>
              </w:rPr>
              <w:t>13歲</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w w:val="75"/>
                <w:sz w:val="28"/>
                <w:szCs w:val="28"/>
              </w:rPr>
            </w:pPr>
            <w:r>
              <w:rPr>
                <w:rFonts w:ascii="標楷體" w:eastAsia="標楷體" w:hAnsi="標楷體" w:cs="標楷體"/>
                <w:color w:val="000000"/>
                <w:w w:val="75"/>
                <w:sz w:val="28"/>
                <w:szCs w:val="28"/>
              </w:rPr>
              <w:t>14歲</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w w:val="75"/>
                <w:sz w:val="28"/>
                <w:szCs w:val="28"/>
              </w:rPr>
            </w:pPr>
            <w:r>
              <w:rPr>
                <w:rFonts w:ascii="標楷體" w:eastAsia="標楷體" w:hAnsi="標楷體" w:cs="標楷體"/>
                <w:color w:val="000000"/>
                <w:w w:val="75"/>
                <w:sz w:val="28"/>
                <w:szCs w:val="28"/>
              </w:rPr>
              <w:t>15歲</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w w:val="75"/>
                <w:sz w:val="28"/>
                <w:szCs w:val="28"/>
              </w:rPr>
            </w:pPr>
            <w:r>
              <w:rPr>
                <w:rFonts w:ascii="標楷體" w:eastAsia="標楷體" w:hAnsi="標楷體" w:cs="標楷體"/>
                <w:color w:val="000000"/>
                <w:w w:val="75"/>
                <w:sz w:val="28"/>
                <w:szCs w:val="28"/>
              </w:rPr>
              <w:t>16歲</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w w:val="75"/>
                <w:sz w:val="28"/>
                <w:szCs w:val="28"/>
              </w:rPr>
            </w:pPr>
            <w:r>
              <w:rPr>
                <w:rFonts w:ascii="標楷體" w:eastAsia="標楷體" w:hAnsi="標楷體" w:cs="標楷體"/>
                <w:color w:val="000000"/>
                <w:w w:val="75"/>
                <w:sz w:val="28"/>
                <w:szCs w:val="28"/>
              </w:rPr>
              <w:t>13歲</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w w:val="75"/>
                <w:sz w:val="28"/>
                <w:szCs w:val="28"/>
              </w:rPr>
            </w:pPr>
            <w:r>
              <w:rPr>
                <w:rFonts w:ascii="標楷體" w:eastAsia="標楷體" w:hAnsi="標楷體" w:cs="標楷體"/>
                <w:color w:val="000000"/>
                <w:w w:val="75"/>
                <w:sz w:val="28"/>
                <w:szCs w:val="28"/>
              </w:rPr>
              <w:t>14歲</w:t>
            </w:r>
          </w:p>
        </w:tc>
        <w:tc>
          <w:tcPr>
            <w:tcW w:w="9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w w:val="75"/>
                <w:sz w:val="28"/>
                <w:szCs w:val="28"/>
              </w:rPr>
            </w:pPr>
            <w:r>
              <w:rPr>
                <w:rFonts w:ascii="標楷體" w:eastAsia="標楷體" w:hAnsi="標楷體" w:cs="標楷體"/>
                <w:color w:val="000000"/>
                <w:w w:val="75"/>
                <w:sz w:val="28"/>
                <w:szCs w:val="28"/>
              </w:rPr>
              <w:t>15歲</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w w:val="75"/>
                <w:sz w:val="28"/>
                <w:szCs w:val="28"/>
              </w:rPr>
            </w:pPr>
            <w:r>
              <w:rPr>
                <w:rFonts w:ascii="標楷體" w:eastAsia="標楷體" w:hAnsi="標楷體" w:cs="標楷體"/>
                <w:color w:val="000000"/>
                <w:w w:val="75"/>
                <w:sz w:val="28"/>
                <w:szCs w:val="28"/>
              </w:rPr>
              <w:t>16歲</w:t>
            </w:r>
          </w:p>
        </w:tc>
      </w:tr>
      <w:tr w:rsidR="008B7B48">
        <w:tc>
          <w:tcPr>
            <w:tcW w:w="33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肌耐力：一分鐘屈膝仰臥起坐(次)</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29</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30</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32</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33</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23</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22</w:t>
            </w:r>
          </w:p>
        </w:tc>
        <w:tc>
          <w:tcPr>
            <w:tcW w:w="9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22</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23</w:t>
            </w:r>
          </w:p>
        </w:tc>
      </w:tr>
      <w:tr w:rsidR="008B7B48">
        <w:tc>
          <w:tcPr>
            <w:tcW w:w="33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柔軟度：坐姿體前彎(公分)</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18</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18</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18</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18</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24</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23</w:t>
            </w:r>
          </w:p>
        </w:tc>
        <w:tc>
          <w:tcPr>
            <w:tcW w:w="9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25</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24</w:t>
            </w:r>
          </w:p>
        </w:tc>
      </w:tr>
      <w:tr w:rsidR="008B7B48">
        <w:trPr>
          <w:trHeight w:val="540"/>
        </w:trPr>
        <w:tc>
          <w:tcPr>
            <w:tcW w:w="33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瞬發力：立定跳遠(公分)</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148</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165</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175</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180</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120</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122</w:t>
            </w:r>
          </w:p>
        </w:tc>
        <w:tc>
          <w:tcPr>
            <w:tcW w:w="9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125</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127</w:t>
            </w:r>
          </w:p>
        </w:tc>
      </w:tr>
      <w:tr w:rsidR="008B7B48">
        <w:tc>
          <w:tcPr>
            <w:tcW w:w="33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tabs>
                <w:tab w:val="left" w:pos="1872"/>
              </w:tabs>
              <w:snapToGrid w:val="0"/>
              <w:spacing w:line="460" w:lineRule="exact"/>
            </w:pPr>
            <w:r>
              <w:rPr>
                <w:rFonts w:ascii="標楷體" w:eastAsia="標楷體" w:hAnsi="標楷體" w:cs="標楷體"/>
                <w:color w:val="000000"/>
                <w:w w:val="77"/>
                <w:sz w:val="32"/>
                <w:szCs w:val="32"/>
              </w:rPr>
              <w:t>心肺耐</w:t>
            </w:r>
            <w:r>
              <w:rPr>
                <w:rFonts w:ascii="標楷體" w:eastAsia="標楷體" w:hAnsi="標楷體" w:cs="標楷體"/>
                <w:color w:val="000000"/>
                <w:spacing w:val="2"/>
                <w:w w:val="77"/>
                <w:sz w:val="32"/>
                <w:szCs w:val="32"/>
              </w:rPr>
              <w:t>力</w:t>
            </w:r>
            <w:r>
              <w:rPr>
                <w:rFonts w:ascii="標楷體" w:eastAsia="標楷體" w:hAnsi="標楷體" w:cs="標楷體"/>
                <w:color w:val="000000"/>
                <w:sz w:val="32"/>
                <w:szCs w:val="32"/>
              </w:rPr>
              <w:t>：</w:t>
            </w:r>
            <w:r>
              <w:rPr>
                <w:rFonts w:ascii="標楷體" w:eastAsia="標楷體" w:hAnsi="標楷體" w:cs="標楷體"/>
                <w:color w:val="000000"/>
                <w:w w:val="75"/>
                <w:sz w:val="28"/>
                <w:szCs w:val="28"/>
              </w:rPr>
              <w:t>8</w:t>
            </w:r>
            <w:r>
              <w:rPr>
                <w:rFonts w:ascii="標楷體" w:eastAsia="標楷體" w:hAnsi="標楷體" w:cs="標楷體"/>
                <w:color w:val="000000"/>
                <w:sz w:val="28"/>
                <w:szCs w:val="28"/>
              </w:rPr>
              <w:t>00(女)/1600(男)公尺跑走</w:t>
            </w:r>
            <w:r>
              <w:rPr>
                <w:rFonts w:ascii="標楷體" w:eastAsia="標楷體" w:hAnsi="標楷體" w:cs="標楷體"/>
                <w:color w:val="000000"/>
                <w:w w:val="75"/>
                <w:sz w:val="28"/>
                <w:szCs w:val="28"/>
              </w:rPr>
              <w:t>(秒)</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676</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659</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619</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578</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316</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323</w:t>
            </w:r>
          </w:p>
        </w:tc>
        <w:tc>
          <w:tcPr>
            <w:tcW w:w="9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320</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311</w:t>
            </w:r>
          </w:p>
        </w:tc>
      </w:tr>
    </w:tbl>
    <w:p w:rsidR="008B7B48" w:rsidRDefault="00865E3F">
      <w:pPr>
        <w:pStyle w:val="Standard"/>
        <w:snapToGrid w:val="0"/>
        <w:spacing w:line="460" w:lineRule="exact"/>
        <w:ind w:right="-82" w:firstLine="566"/>
        <w:jc w:val="both"/>
        <w:rPr>
          <w:rFonts w:ascii="標楷體" w:eastAsia="標楷體" w:hAnsi="標楷體" w:cs="標楷體"/>
          <w:color w:val="000000"/>
          <w:sz w:val="28"/>
          <w:szCs w:val="28"/>
        </w:rPr>
      </w:pPr>
      <w:r>
        <w:rPr>
          <w:rFonts w:ascii="標楷體" w:eastAsia="標楷體" w:hAnsi="標楷體" w:cs="標楷體"/>
          <w:color w:val="000000"/>
          <w:sz w:val="28"/>
          <w:szCs w:val="28"/>
        </w:rPr>
        <w:t>（二）計分原則：</w:t>
      </w:r>
    </w:p>
    <w:p w:rsidR="008B7B48" w:rsidRDefault="00865E3F">
      <w:pPr>
        <w:pStyle w:val="Standard"/>
        <w:snapToGrid w:val="0"/>
        <w:spacing w:line="460" w:lineRule="exact"/>
        <w:ind w:left="1841" w:right="-82" w:hanging="423"/>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1、檢測成績以門檻方式計分。</w:t>
      </w:r>
    </w:p>
    <w:p w:rsidR="008B7B48" w:rsidRDefault="00865E3F">
      <w:pPr>
        <w:pStyle w:val="Standard"/>
        <w:snapToGrid w:val="0"/>
        <w:spacing w:line="460" w:lineRule="exact"/>
        <w:ind w:left="1841" w:right="-82" w:hanging="423"/>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2、持有各級主管機關特殊教育學生鑑定及就學輔導會鑑定為身心障礙學生之證明，或領有身心障礙手冊(證明)者，或持有公立醫院證明為重大傷病、體弱學生，或經學校組成專責小組認定確屬不宜檢測之學生，比照門檻標準，予以</w:t>
      </w:r>
      <w:r>
        <w:rPr>
          <w:rFonts w:ascii="標楷體" w:eastAsia="標楷體" w:hAnsi="標楷體" w:cs="標楷體"/>
          <w:bCs/>
          <w:color w:val="000000"/>
          <w:sz w:val="28"/>
          <w:szCs w:val="28"/>
        </w:rPr>
        <w:lastRenderedPageBreak/>
        <w:t>計分。</w:t>
      </w:r>
    </w:p>
    <w:p w:rsidR="008B7B48" w:rsidRDefault="00865E3F">
      <w:pPr>
        <w:pStyle w:val="Standard"/>
        <w:snapToGrid w:val="0"/>
        <w:spacing w:line="460" w:lineRule="exact"/>
        <w:ind w:left="1841" w:right="-82" w:hanging="423"/>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3、各區可自行決定採計下列之成績證明：</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（1）體適能檢測站成績證明：學生至體適能檢測站檢測，由本部統一提供格式，核發單位為各直轄市、縣(市)政府教育局(處)或檢測單位。</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（2）學校自行檢測成績證明：經學校核章之體適能成績證明，檢測結果並由學校上傳至本部體適能資料上傳管理系統備查。</w:t>
      </w:r>
    </w:p>
    <w:p w:rsidR="008B7B48" w:rsidRDefault="00865E3F">
      <w:pPr>
        <w:pStyle w:val="Standard"/>
        <w:spacing w:line="460" w:lineRule="exact"/>
        <w:ind w:left="566" w:hanging="566"/>
        <w:rPr>
          <w:rFonts w:ascii="標楷體" w:eastAsia="標楷體" w:hAnsi="標楷體" w:cs="標楷體"/>
          <w:color w:val="000000"/>
          <w:sz w:val="28"/>
          <w:szCs w:val="28"/>
        </w:rPr>
      </w:pPr>
      <w:r>
        <w:rPr>
          <w:rFonts w:ascii="標楷體" w:eastAsia="標楷體" w:hAnsi="標楷體" w:cs="標楷體"/>
          <w:color w:val="000000"/>
          <w:sz w:val="28"/>
          <w:szCs w:val="28"/>
        </w:rPr>
        <w:t>三、「競賽、資格檢定及證照」項目採計原則：</w:t>
      </w:r>
    </w:p>
    <w:p w:rsidR="008B7B48" w:rsidRDefault="00865E3F">
      <w:pPr>
        <w:pStyle w:val="Standard"/>
        <w:snapToGrid w:val="0"/>
        <w:spacing w:line="460" w:lineRule="exact"/>
        <w:ind w:left="1414" w:right="-82" w:hanging="848"/>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（一）競賽項目：限學生於國中階段參加獲獎者，採計時應符合下列認定原則:</w:t>
      </w:r>
    </w:p>
    <w:p w:rsidR="008B7B48" w:rsidRDefault="00865E3F">
      <w:pPr>
        <w:pStyle w:val="Standard"/>
        <w:snapToGrid w:val="0"/>
        <w:spacing w:line="460" w:lineRule="exact"/>
        <w:ind w:left="1841" w:right="-82" w:hanging="423"/>
        <w:jc w:val="both"/>
      </w:pPr>
      <w:r>
        <w:rPr>
          <w:rFonts w:ascii="標楷體" w:eastAsia="標楷體" w:hAnsi="標楷體" w:cs="文鼎PL細上海宋Uni, 'Times New Roman'"/>
          <w:bCs/>
          <w:color w:val="000000"/>
          <w:sz w:val="28"/>
          <w:szCs w:val="28"/>
        </w:rPr>
        <w:t>1、符合主辦</w:t>
      </w:r>
      <w:r>
        <w:rPr>
          <w:rFonts w:ascii="標楷體" w:eastAsia="標楷體" w:hAnsi="標楷體" w:cs="標楷體"/>
          <w:bCs/>
          <w:color w:val="000000"/>
          <w:sz w:val="28"/>
          <w:szCs w:val="28"/>
        </w:rPr>
        <w:t>層級認定：</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（1）國際性：指經中央機關薦送或認可之國際性競賽。</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（2）全國性：指中央機關主辦之全國性競賽。</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（3）區域性：指由中央機關主辦之分區賽，或各直轄市、 縣(市)政府教育局(處)聯合辦理之跨縣市競賽。</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（4）縣市性：指直轄市、縣（市）政府主辦或認可之競賽。</w:t>
      </w:r>
    </w:p>
    <w:p w:rsidR="008B7B48" w:rsidRDefault="00865E3F">
      <w:pPr>
        <w:pStyle w:val="Standard"/>
        <w:snapToGrid w:val="0"/>
        <w:spacing w:line="460" w:lineRule="exact"/>
        <w:ind w:left="1841" w:right="-82" w:hanging="423"/>
        <w:jc w:val="both"/>
      </w:pPr>
      <w:r>
        <w:rPr>
          <w:rFonts w:ascii="標楷體" w:eastAsia="標楷體" w:hAnsi="標楷體" w:cs="文鼎PL細上海宋Uni, 'Times New Roman'"/>
          <w:bCs/>
          <w:color w:val="000000"/>
          <w:sz w:val="28"/>
          <w:szCs w:val="28"/>
        </w:rPr>
        <w:t>2、</w:t>
      </w:r>
      <w:r>
        <w:rPr>
          <w:rFonts w:ascii="標楷體" w:eastAsia="標楷體" w:hAnsi="標楷體" w:cs="標楷體"/>
          <w:bCs/>
          <w:color w:val="000000"/>
          <w:sz w:val="28"/>
          <w:szCs w:val="28"/>
        </w:rPr>
        <w:t>符合</w:t>
      </w:r>
      <w:r>
        <w:rPr>
          <w:rFonts w:ascii="標楷體" w:eastAsia="標楷體" w:hAnsi="標楷體" w:cs="文鼎PL細上海宋Uni, 'Times New Roman'"/>
          <w:bCs/>
          <w:color w:val="000000"/>
          <w:sz w:val="28"/>
          <w:szCs w:val="28"/>
        </w:rPr>
        <w:t>辦理</w:t>
      </w:r>
      <w:r>
        <w:rPr>
          <w:rFonts w:ascii="標楷體" w:eastAsia="標楷體" w:hAnsi="標楷體" w:cs="標楷體"/>
          <w:bCs/>
          <w:color w:val="000000"/>
          <w:sz w:val="28"/>
          <w:szCs w:val="28"/>
        </w:rPr>
        <w:t>原則認定：</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（1）教育性：應與國中課程教學相符，鼓勵學生發展多元智能及自我優勢。</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（2）經常性：應定期辦理，並逐年適時檢視評審評分、競賽分組、教師指導等競賽規範之公平性。</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（3）普遍性：競賽資訊應由主辦單位函告轄內國民中學學生周知，妥為宣導，並儘量讓所有學生都有參加機會。</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（4）逐級性：縣市性競賽參賽者，原則由學校經校內初選或推薦參加之；區域性、全國性、國際性競賽參賽者，原則由學校經校內初選或推薦，並由直轄市、縣（市）政府複選或推薦參加。</w:t>
      </w:r>
    </w:p>
    <w:p w:rsidR="008B7B48" w:rsidRDefault="00865E3F">
      <w:pPr>
        <w:pStyle w:val="Standard"/>
        <w:snapToGrid w:val="0"/>
        <w:spacing w:line="460" w:lineRule="exact"/>
        <w:ind w:left="1841" w:right="-82" w:hanging="423"/>
        <w:jc w:val="both"/>
        <w:rPr>
          <w:rFonts w:ascii="標楷體" w:eastAsia="標楷體" w:hAnsi="標楷體" w:cs="文鼎PL細上海宋Uni, 'Times New Roman'"/>
          <w:bCs/>
          <w:color w:val="000000"/>
          <w:sz w:val="28"/>
          <w:szCs w:val="28"/>
        </w:rPr>
      </w:pPr>
      <w:r>
        <w:rPr>
          <w:rFonts w:ascii="標楷體" w:eastAsia="標楷體" w:hAnsi="標楷體" w:cs="文鼎PL細上海宋Uni, 'Times New Roman'"/>
          <w:bCs/>
          <w:color w:val="000000"/>
          <w:sz w:val="28"/>
          <w:szCs w:val="28"/>
        </w:rPr>
        <w:lastRenderedPageBreak/>
        <w:t>3、成績計分原則：</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（1）應明定各競賽項目核獎之項目及人數上限，且競賽間之核獎總數應符合比例原則。</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（2）競賽成績積分之總合應訂定上限。</w:t>
      </w:r>
    </w:p>
    <w:p w:rsidR="008B7B48" w:rsidRDefault="00865E3F">
      <w:pPr>
        <w:pStyle w:val="Standard"/>
        <w:snapToGrid w:val="0"/>
        <w:spacing w:line="460" w:lineRule="exact"/>
        <w:ind w:left="1414" w:right="-82" w:hanging="848"/>
        <w:jc w:val="both"/>
      </w:pPr>
      <w:r>
        <w:rPr>
          <w:rFonts w:ascii="標楷體" w:eastAsia="標楷體" w:hAnsi="標楷體" w:cs="文鼎PL細上海宋Uni, 'Times New Roman'"/>
          <w:bCs/>
          <w:color w:val="000000"/>
          <w:sz w:val="28"/>
          <w:szCs w:val="28"/>
        </w:rPr>
        <w:t>（二）資格檢定</w:t>
      </w:r>
      <w:r>
        <w:rPr>
          <w:rFonts w:ascii="標楷體" w:eastAsia="標楷體" w:hAnsi="標楷體" w:cs="標楷體"/>
          <w:color w:val="000000"/>
          <w:sz w:val="28"/>
          <w:szCs w:val="28"/>
        </w:rPr>
        <w:t>及證照</w:t>
      </w:r>
      <w:r>
        <w:rPr>
          <w:rFonts w:ascii="標楷體" w:eastAsia="標楷體" w:hAnsi="標楷體" w:cs="文鼎PL細上海宋Uni, 'Times New Roman'"/>
          <w:bCs/>
          <w:color w:val="000000"/>
          <w:sz w:val="28"/>
          <w:szCs w:val="28"/>
        </w:rPr>
        <w:t>之認定，以政府機關辦理或認可之項目為範圍，其</w:t>
      </w:r>
      <w:r>
        <w:rPr>
          <w:rFonts w:ascii="標楷體" w:eastAsia="標楷體" w:hAnsi="標楷體" w:cs="標楷體"/>
          <w:bCs/>
          <w:color w:val="000000"/>
          <w:sz w:val="28"/>
          <w:szCs w:val="28"/>
        </w:rPr>
        <w:t>積分之總合</w:t>
      </w:r>
      <w:r>
        <w:rPr>
          <w:rFonts w:ascii="標楷體" w:eastAsia="標楷體" w:hAnsi="標楷體" w:cs="文鼎PL細上海宋Uni, 'Times New Roman'"/>
          <w:bCs/>
          <w:color w:val="000000"/>
          <w:sz w:val="28"/>
          <w:szCs w:val="28"/>
        </w:rPr>
        <w:t>應訂定上限。</w:t>
      </w:r>
    </w:p>
    <w:p w:rsidR="008B7B48" w:rsidRDefault="00865E3F">
      <w:pPr>
        <w:pStyle w:val="Standard"/>
        <w:spacing w:line="460" w:lineRule="exact"/>
        <w:ind w:left="566" w:hanging="566"/>
        <w:rPr>
          <w:rFonts w:ascii="標楷體" w:eastAsia="標楷體" w:hAnsi="標楷體" w:cs="標楷體"/>
          <w:color w:val="000000"/>
          <w:sz w:val="28"/>
          <w:szCs w:val="28"/>
        </w:rPr>
      </w:pPr>
      <w:r>
        <w:rPr>
          <w:rFonts w:ascii="標楷體" w:eastAsia="標楷體" w:hAnsi="標楷體" w:cs="標楷體"/>
          <w:color w:val="000000"/>
          <w:sz w:val="28"/>
          <w:szCs w:val="28"/>
        </w:rPr>
        <w:t>四、「服務學習」項目採計原則：</w:t>
      </w:r>
    </w:p>
    <w:p w:rsidR="008B7B48" w:rsidRDefault="00865E3F">
      <w:pPr>
        <w:pStyle w:val="Standard"/>
        <w:snapToGrid w:val="0"/>
        <w:spacing w:line="460" w:lineRule="exact"/>
        <w:ind w:left="1414" w:right="-82" w:hanging="848"/>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（一）各國中應依據直轄市、縣(市)政府所訂定規範，由學校提供足量之服務學習時數，並公告周知。</w:t>
      </w:r>
    </w:p>
    <w:p w:rsidR="008B7B48" w:rsidRDefault="00865E3F">
      <w:pPr>
        <w:pStyle w:val="Standard"/>
        <w:snapToGrid w:val="0"/>
        <w:spacing w:line="460" w:lineRule="exact"/>
        <w:ind w:left="1414" w:right="-82" w:hanging="848"/>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（二）校內服務，由學校規劃學習課程或活動，並發給服務學習證明；校外服務內容及發證，由各區定之。</w:t>
      </w:r>
    </w:p>
    <w:p w:rsidR="008B7B48" w:rsidRDefault="00865E3F">
      <w:pPr>
        <w:pStyle w:val="Standard"/>
        <w:snapToGrid w:val="0"/>
        <w:spacing w:line="460" w:lineRule="exact"/>
        <w:ind w:left="1414" w:right="-82" w:hanging="848"/>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（三）參加學校社團，或經民主程序選出之幹部，得納入服務學習項目計分。</w:t>
      </w:r>
    </w:p>
    <w:p w:rsidR="008B7B48" w:rsidRDefault="00865E3F">
      <w:pPr>
        <w:pStyle w:val="Standard"/>
        <w:spacing w:line="460" w:lineRule="exact"/>
        <w:ind w:left="566" w:hanging="566"/>
      </w:pPr>
      <w:r>
        <w:rPr>
          <w:rFonts w:ascii="標楷體" w:eastAsia="標楷體" w:hAnsi="標楷體" w:cs="標楷體"/>
          <w:bCs/>
          <w:color w:val="000000"/>
          <w:sz w:val="28"/>
          <w:szCs w:val="28"/>
        </w:rPr>
        <w:t>五</w:t>
      </w:r>
      <w:r>
        <w:rPr>
          <w:rFonts w:ascii="標楷體" w:eastAsia="標楷體" w:hAnsi="標楷體" w:cs="標楷體"/>
          <w:color w:val="000000"/>
          <w:sz w:val="28"/>
          <w:szCs w:val="28"/>
        </w:rPr>
        <w:t>、「日常生活表現」項目採計原則：</w:t>
      </w:r>
    </w:p>
    <w:p w:rsidR="008B7B48" w:rsidRDefault="00865E3F">
      <w:pPr>
        <w:pStyle w:val="Standard"/>
        <w:snapToGrid w:val="0"/>
        <w:spacing w:line="460" w:lineRule="exact"/>
        <w:ind w:left="1414" w:right="-82" w:hanging="848"/>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（一）獎懲類別：依獎懲種類分別計分。功過相抵或銷過後無懲處紀錄者，與原無懲處紀錄者給予同等之計分。</w:t>
      </w:r>
    </w:p>
    <w:p w:rsidR="008B7B48" w:rsidRDefault="00865E3F">
      <w:pPr>
        <w:pStyle w:val="Standard"/>
        <w:snapToGrid w:val="0"/>
        <w:spacing w:line="460" w:lineRule="exact"/>
        <w:ind w:left="1414" w:right="-82" w:hanging="848"/>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（二）出缺席情形，以學生之曠課節數為計分依據。</w:t>
      </w:r>
    </w:p>
    <w:p w:rsidR="008B7B48" w:rsidRDefault="00865E3F">
      <w:pPr>
        <w:pStyle w:val="Standard"/>
        <w:snapToGrid w:val="0"/>
        <w:spacing w:line="460" w:lineRule="exact"/>
        <w:ind w:left="1414" w:right="-82" w:hanging="848"/>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（三）各區應訂定日常生活表現項目積分總合之上限。</w:t>
      </w:r>
    </w:p>
    <w:p w:rsidR="008B7B48" w:rsidRDefault="00865E3F">
      <w:pPr>
        <w:pStyle w:val="Standard"/>
        <w:spacing w:line="460" w:lineRule="exact"/>
        <w:ind w:left="566" w:hanging="566"/>
        <w:rPr>
          <w:rFonts w:ascii="標楷體" w:eastAsia="標楷體" w:hAnsi="標楷體" w:cs="標楷體"/>
          <w:color w:val="000000"/>
          <w:sz w:val="28"/>
          <w:szCs w:val="28"/>
        </w:rPr>
      </w:pPr>
      <w:r>
        <w:rPr>
          <w:rFonts w:ascii="標楷體" w:eastAsia="標楷體" w:hAnsi="標楷體" w:cs="標楷體"/>
          <w:color w:val="000000"/>
          <w:sz w:val="28"/>
          <w:szCs w:val="28"/>
        </w:rPr>
        <w:t>六、直轄市、縣(市)政府，應就非應屆畢業學生、轉學生、特殊教育學生、身體羸弱與家庭經濟不利學生、海外臺灣學校、大陸地區臺商學校及非學校型態實驗教育學生之特殊性，妥慎考量其採計方式及輔導措施，以確保其升學權益。</w:t>
      </w:r>
    </w:p>
    <w:p w:rsidR="008B7B48" w:rsidRDefault="008B7B48">
      <w:pPr>
        <w:pStyle w:val="Standard"/>
        <w:spacing w:line="460" w:lineRule="exact"/>
        <w:ind w:left="566" w:hanging="566"/>
        <w:rPr>
          <w:rFonts w:ascii="標楷體" w:eastAsia="標楷體" w:hAnsi="標楷體" w:cs="標楷體"/>
          <w:b/>
          <w:color w:val="000000"/>
          <w:sz w:val="28"/>
          <w:szCs w:val="28"/>
        </w:rPr>
      </w:pPr>
    </w:p>
    <w:sectPr w:rsidR="008B7B48" w:rsidSect="00D96F02">
      <w:pgSz w:w="11906" w:h="16838"/>
      <w:pgMar w:top="1418" w:right="1418"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802" w:rsidRDefault="00825802">
      <w:pPr>
        <w:rPr>
          <w:rFonts w:hint="eastAsia"/>
        </w:rPr>
      </w:pPr>
      <w:r>
        <w:separator/>
      </w:r>
    </w:p>
  </w:endnote>
  <w:endnote w:type="continuationSeparator" w:id="0">
    <w:p w:rsidR="00825802" w:rsidRDefault="00825802">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新細明體, PMingLiU">
    <w:charset w:val="00"/>
    <w:family w:val="roman"/>
    <w:pitch w:val="variable"/>
    <w:sig w:usb0="00000000" w:usb1="00000000" w:usb2="00000000" w:usb3="00000000" w:csb0="00000000" w:csb1="00000000"/>
  </w:font>
  <w:font w:name="Liberation Sans">
    <w:panose1 w:val="020B0604020202020204"/>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細明體, MingLiU">
    <w:charset w:val="00"/>
    <w:family w:val="modern"/>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文鼎PL細上海宋Uni, '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802" w:rsidRDefault="00825802">
      <w:pPr>
        <w:rPr>
          <w:rFonts w:hint="eastAsia"/>
        </w:rPr>
      </w:pPr>
      <w:r>
        <w:rPr>
          <w:color w:val="000000"/>
        </w:rPr>
        <w:separator/>
      </w:r>
    </w:p>
  </w:footnote>
  <w:footnote w:type="continuationSeparator" w:id="0">
    <w:p w:rsidR="00825802" w:rsidRDefault="00825802">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37815"/>
    <w:multiLevelType w:val="multilevel"/>
    <w:tmpl w:val="153E32B6"/>
    <w:styleLink w:val="WW8Num1"/>
    <w:lvl w:ilvl="0">
      <w:start w:val="1"/>
      <w:numFmt w:val="japaneseCounting"/>
      <w:lvlText w:val="%1、"/>
      <w:lvlJc w:val="left"/>
      <w:pPr>
        <w:ind w:left="720" w:hanging="480"/>
      </w:pPr>
      <w:rPr>
        <w:rFonts w:cs="Times New Roman"/>
        <w:color w:val="000000"/>
        <w:u w:val="single"/>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autoHyphenation/>
  <w:characterSpacingControl w:val="doNotCompress"/>
  <w:hdrShapeDefaults>
    <o:shapedefaults v:ext="edit" spidmax="5122"/>
  </w:hdrShapeDefaults>
  <w:footnotePr>
    <w:footnote w:id="-1"/>
    <w:footnote w:id="0"/>
  </w:footnotePr>
  <w:endnotePr>
    <w:endnote w:id="-1"/>
    <w:endnote w:id="0"/>
  </w:endnotePr>
  <w:compat>
    <w:useFELayout/>
  </w:compat>
  <w:rsids>
    <w:rsidRoot w:val="008B7B48"/>
    <w:rsid w:val="002241CF"/>
    <w:rsid w:val="00825802"/>
    <w:rsid w:val="00865E3F"/>
    <w:rsid w:val="008B7B48"/>
    <w:rsid w:val="00D96F02"/>
    <w:rsid w:val="00FC6BE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F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96F02"/>
    <w:rPr>
      <w:rFonts w:ascii="Times New Roman" w:eastAsia="新細明體, PMingLiU" w:hAnsi="Times New Roman" w:cs="Times New Roman"/>
      <w:lang w:bidi="ar-SA"/>
    </w:rPr>
  </w:style>
  <w:style w:type="paragraph" w:customStyle="1" w:styleId="Heading">
    <w:name w:val="Heading"/>
    <w:basedOn w:val="Standard"/>
    <w:next w:val="Textbody"/>
    <w:rsid w:val="00D96F02"/>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D96F02"/>
    <w:pPr>
      <w:spacing w:after="140" w:line="288" w:lineRule="auto"/>
    </w:pPr>
  </w:style>
  <w:style w:type="paragraph" w:styleId="a3">
    <w:name w:val="List"/>
    <w:basedOn w:val="Textbody"/>
    <w:rsid w:val="00D96F02"/>
    <w:rPr>
      <w:rFonts w:cs="Mangal"/>
    </w:rPr>
  </w:style>
  <w:style w:type="paragraph" w:styleId="a4">
    <w:name w:val="caption"/>
    <w:basedOn w:val="Standard"/>
    <w:rsid w:val="00D96F02"/>
    <w:pPr>
      <w:suppressLineNumbers/>
      <w:spacing w:before="120" w:after="120"/>
    </w:pPr>
    <w:rPr>
      <w:rFonts w:cs="Mangal"/>
      <w:i/>
      <w:iCs/>
    </w:rPr>
  </w:style>
  <w:style w:type="paragraph" w:customStyle="1" w:styleId="Index">
    <w:name w:val="Index"/>
    <w:basedOn w:val="Standard"/>
    <w:rsid w:val="00D96F02"/>
    <w:pPr>
      <w:suppressLineNumbers/>
    </w:pPr>
    <w:rPr>
      <w:rFonts w:cs="Mangal"/>
    </w:rPr>
  </w:style>
  <w:style w:type="paragraph" w:styleId="a5">
    <w:name w:val="header"/>
    <w:basedOn w:val="Standard"/>
    <w:rsid w:val="00D96F02"/>
    <w:pPr>
      <w:tabs>
        <w:tab w:val="center" w:pos="4153"/>
        <w:tab w:val="right" w:pos="8306"/>
      </w:tabs>
      <w:snapToGrid w:val="0"/>
    </w:pPr>
    <w:rPr>
      <w:sz w:val="20"/>
      <w:szCs w:val="20"/>
    </w:rPr>
  </w:style>
  <w:style w:type="paragraph" w:styleId="a6">
    <w:name w:val="footer"/>
    <w:basedOn w:val="Standard"/>
    <w:rsid w:val="00D96F02"/>
    <w:pPr>
      <w:tabs>
        <w:tab w:val="center" w:pos="4153"/>
        <w:tab w:val="right" w:pos="8306"/>
      </w:tabs>
      <w:snapToGrid w:val="0"/>
    </w:pPr>
    <w:rPr>
      <w:sz w:val="20"/>
      <w:szCs w:val="20"/>
    </w:rPr>
  </w:style>
  <w:style w:type="paragraph" w:styleId="HTML">
    <w:name w:val="HTML Preformatted"/>
    <w:basedOn w:val="Standard"/>
    <w:rsid w:val="00D9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rPr>
  </w:style>
  <w:style w:type="paragraph" w:styleId="a7">
    <w:name w:val="List Paragraph"/>
    <w:basedOn w:val="Standard"/>
    <w:rsid w:val="00D96F02"/>
    <w:pPr>
      <w:ind w:left="480"/>
    </w:pPr>
    <w:rPr>
      <w:sz w:val="20"/>
    </w:rPr>
  </w:style>
  <w:style w:type="paragraph" w:customStyle="1" w:styleId="TableContents">
    <w:name w:val="Table Contents"/>
    <w:basedOn w:val="Standard"/>
    <w:rsid w:val="00D96F02"/>
    <w:pPr>
      <w:suppressLineNumbers/>
    </w:pPr>
  </w:style>
  <w:style w:type="paragraph" w:customStyle="1" w:styleId="TableHeading">
    <w:name w:val="Table Heading"/>
    <w:basedOn w:val="TableContents"/>
    <w:rsid w:val="00D96F02"/>
    <w:pPr>
      <w:jc w:val="center"/>
    </w:pPr>
    <w:rPr>
      <w:b/>
      <w:bCs/>
    </w:rPr>
  </w:style>
  <w:style w:type="character" w:customStyle="1" w:styleId="WW8Num1z0">
    <w:name w:val="WW8Num1z0"/>
    <w:rsid w:val="00D96F02"/>
    <w:rPr>
      <w:rFonts w:cs="Times New Roman"/>
      <w:color w:val="000000"/>
      <w:u w:val="single"/>
    </w:rPr>
  </w:style>
  <w:style w:type="character" w:customStyle="1" w:styleId="WW8Num1z1">
    <w:name w:val="WW8Num1z1"/>
    <w:rsid w:val="00D96F02"/>
    <w:rPr>
      <w:rFonts w:cs="Times New Roman"/>
    </w:rPr>
  </w:style>
  <w:style w:type="character" w:customStyle="1" w:styleId="a8">
    <w:name w:val="頁首 字元"/>
    <w:basedOn w:val="a0"/>
    <w:rsid w:val="00D96F02"/>
    <w:rPr>
      <w:kern w:val="3"/>
    </w:rPr>
  </w:style>
  <w:style w:type="character" w:customStyle="1" w:styleId="a9">
    <w:name w:val="頁尾 字元"/>
    <w:basedOn w:val="a0"/>
    <w:rsid w:val="00D96F02"/>
    <w:rPr>
      <w:kern w:val="3"/>
    </w:rPr>
  </w:style>
  <w:style w:type="character" w:customStyle="1" w:styleId="HTML0">
    <w:name w:val="HTML 預設格式 字元"/>
    <w:basedOn w:val="a0"/>
    <w:rsid w:val="00D96F02"/>
    <w:rPr>
      <w:rFonts w:ascii="細明體, MingLiU" w:eastAsia="細明體, MingLiU" w:hAnsi="細明體, MingLiU" w:cs="細明體, MingLiU"/>
      <w:sz w:val="24"/>
      <w:szCs w:val="24"/>
    </w:rPr>
  </w:style>
  <w:style w:type="character" w:customStyle="1" w:styleId="aa">
    <w:name w:val="清單段落 字元"/>
    <w:rsid w:val="00D96F02"/>
    <w:rPr>
      <w:szCs w:val="24"/>
    </w:rPr>
  </w:style>
  <w:style w:type="numbering" w:customStyle="1" w:styleId="WW8Num1">
    <w:name w:val="WW8Num1"/>
    <w:basedOn w:val="a2"/>
    <w:rsid w:val="00D96F02"/>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高級中等學校免試入學作業要點訂定應遵行事項第4點修正規定</dc:title>
  <dc:creator>tpde</dc:creator>
  <cp:lastModifiedBy>user</cp:lastModifiedBy>
  <cp:revision>2</cp:revision>
  <cp:lastPrinted>2016-08-10T12:36:00Z</cp:lastPrinted>
  <dcterms:created xsi:type="dcterms:W3CDTF">2016-09-06T06:22:00Z</dcterms:created>
  <dcterms:modified xsi:type="dcterms:W3CDTF">2016-09-06T06:22:00Z</dcterms:modified>
</cp:coreProperties>
</file>