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0BBD" w14:textId="3D30AAE6" w:rsidR="005A3B45" w:rsidRPr="00FF7BD4" w:rsidRDefault="005A3B45" w:rsidP="00675375">
      <w:pPr>
        <w:jc w:val="center"/>
        <w:rPr>
          <w:rFonts w:ascii="標楷體" w:eastAsia="標楷體" w:hAnsi="標楷體" w:cs="細明體"/>
          <w:kern w:val="0"/>
          <w:sz w:val="36"/>
          <w:szCs w:val="36"/>
          <w:lang w:val="zh-TW"/>
        </w:rPr>
      </w:pPr>
      <w:bookmarkStart w:id="0" w:name="_GoBack"/>
      <w:r w:rsidRPr="00FF7BD4">
        <w:rPr>
          <w:rFonts w:ascii="標楷體" w:eastAsia="標楷體" w:hAnsi="標楷體" w:cs="細明體" w:hint="eastAsia"/>
          <w:kern w:val="0"/>
          <w:sz w:val="36"/>
          <w:szCs w:val="36"/>
          <w:lang w:val="zh-TW"/>
        </w:rPr>
        <w:t>桃園</w:t>
      </w:r>
      <w:r w:rsidR="007F69C3" w:rsidRPr="00FF7BD4">
        <w:rPr>
          <w:rFonts w:ascii="標楷體" w:eastAsia="標楷體" w:hAnsi="標楷體" w:cs="細明體" w:hint="eastAsia"/>
          <w:kern w:val="0"/>
          <w:sz w:val="36"/>
          <w:szCs w:val="36"/>
          <w:lang w:val="zh-TW"/>
        </w:rPr>
        <w:t>市</w:t>
      </w:r>
      <w:r w:rsidRPr="00FF7BD4">
        <w:rPr>
          <w:rFonts w:ascii="標楷體" w:eastAsia="標楷體" w:hAnsi="標楷體" w:cs="細明體" w:hint="eastAsia"/>
          <w:kern w:val="0"/>
          <w:sz w:val="36"/>
          <w:szCs w:val="36"/>
          <w:lang w:val="zh-TW"/>
        </w:rPr>
        <w:t>政府約聘專任專業輔導人員考核</w:t>
      </w:r>
      <w:r w:rsidR="00BA2B19" w:rsidRPr="00FF7BD4">
        <w:rPr>
          <w:rFonts w:ascii="標楷體" w:eastAsia="標楷體" w:hAnsi="標楷體" w:cs="細明體" w:hint="eastAsia"/>
          <w:kern w:val="0"/>
          <w:sz w:val="36"/>
          <w:szCs w:val="36"/>
          <w:lang w:val="zh-TW"/>
        </w:rPr>
        <w:t>要點</w:t>
      </w:r>
      <w:bookmarkEnd w:id="0"/>
    </w:p>
    <w:p w14:paraId="259159A1" w14:textId="71C808B0" w:rsidR="009B2020" w:rsidRPr="00FF7BD4" w:rsidRDefault="009B2020" w:rsidP="00840BB7">
      <w:pPr>
        <w:wordWrap w:val="0"/>
        <w:jc w:val="right"/>
        <w:rPr>
          <w:rFonts w:ascii="標楷體" w:eastAsia="標楷體" w:hAnsi="標楷體" w:cs="細明體"/>
          <w:kern w:val="0"/>
          <w:szCs w:val="24"/>
          <w:lang w:val="zh-TW"/>
        </w:rPr>
      </w:pPr>
    </w:p>
    <w:p w14:paraId="7AE391F5" w14:textId="1FDDF72C" w:rsidR="00DD6F70" w:rsidRPr="00FF7BD4" w:rsidRDefault="00377B18" w:rsidP="00DD6F70">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一、</w:t>
      </w:r>
      <w:r w:rsidR="00DD6F70" w:rsidRPr="00FF7BD4">
        <w:rPr>
          <w:rFonts w:ascii="標楷體" w:eastAsia="標楷體" w:hAnsi="標楷體" w:hint="eastAsia"/>
          <w:sz w:val="28"/>
          <w:szCs w:val="28"/>
        </w:rPr>
        <w:t>桃園市政府（以下簡稱本府）為執行高級中等以下學校及各該主管機關專業輔導人員設置辦法第二十條規定之績效考核，使本府及所屬高級中等以下學校之專任專業輔導人員（以下簡稱專輔人員）之工作績效考核有所依循，以提升專輔人員服務效能，爰依</w:t>
      </w:r>
      <w:r w:rsidR="00DD6F70" w:rsidRPr="00FF7BD4">
        <w:rPr>
          <w:rFonts w:ascii="標楷體" w:eastAsia="標楷體" w:hAnsi="標楷體"/>
          <w:sz w:val="28"/>
          <w:szCs w:val="28"/>
        </w:rPr>
        <w:t>教育部國民及學前教育署補助高級中等以下學校及直轄市與縣</w:t>
      </w:r>
      <w:r w:rsidR="00DD6F70" w:rsidRPr="00FF7BD4">
        <w:rPr>
          <w:rFonts w:ascii="標楷體" w:eastAsia="標楷體" w:hAnsi="標楷體" w:hint="eastAsia"/>
          <w:sz w:val="28"/>
          <w:szCs w:val="28"/>
        </w:rPr>
        <w:t>（</w:t>
      </w:r>
      <w:r w:rsidR="00DD6F70" w:rsidRPr="00FF7BD4">
        <w:rPr>
          <w:rFonts w:ascii="標楷體" w:eastAsia="標楷體" w:hAnsi="標楷體"/>
          <w:sz w:val="28"/>
          <w:szCs w:val="28"/>
        </w:rPr>
        <w:t>市）政府置專業輔導人員實施要點第</w:t>
      </w:r>
      <w:r w:rsidR="00DD6F70" w:rsidRPr="00FF7BD4">
        <w:rPr>
          <w:rFonts w:ascii="標楷體" w:eastAsia="標楷體" w:hAnsi="標楷體" w:hint="eastAsia"/>
          <w:sz w:val="28"/>
          <w:szCs w:val="28"/>
        </w:rPr>
        <w:t>十五</w:t>
      </w:r>
      <w:r w:rsidR="00DD6F70" w:rsidRPr="00FF7BD4">
        <w:rPr>
          <w:rFonts w:ascii="標楷體" w:eastAsia="標楷體" w:hAnsi="標楷體"/>
          <w:sz w:val="28"/>
          <w:szCs w:val="28"/>
        </w:rPr>
        <w:t>點</w:t>
      </w:r>
      <w:r w:rsidR="00DD6F70" w:rsidRPr="00FF7BD4">
        <w:rPr>
          <w:rFonts w:ascii="標楷體" w:eastAsia="標楷體" w:hAnsi="標楷體" w:hint="eastAsia"/>
          <w:sz w:val="28"/>
          <w:szCs w:val="28"/>
        </w:rPr>
        <w:t>第一項規定，特訂定本要點。</w:t>
      </w:r>
    </w:p>
    <w:p w14:paraId="461EEA92" w14:textId="17A5F282" w:rsidR="00DD6F70" w:rsidRPr="00FF7BD4" w:rsidRDefault="005A3B45" w:rsidP="00DD6F70">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二、</w:t>
      </w:r>
      <w:r w:rsidR="00DD6F70" w:rsidRPr="00FF7BD4">
        <w:rPr>
          <w:rFonts w:ascii="標楷體" w:eastAsia="標楷體" w:hAnsi="標楷體" w:hint="eastAsia"/>
          <w:sz w:val="28"/>
          <w:szCs w:val="28"/>
        </w:rPr>
        <w:t>專輔人員之考核類別如下：</w:t>
      </w:r>
    </w:p>
    <w:p w14:paraId="2B19AD5F" w14:textId="77777777" w:rsidR="00DD6F70" w:rsidRPr="00FF7BD4" w:rsidRDefault="00DD6F70" w:rsidP="00DD6F70">
      <w:pPr>
        <w:kinsoku w:val="0"/>
        <w:snapToGrid w:val="0"/>
        <w:ind w:leftChars="285" w:left="1255" w:rightChars="12" w:right="29" w:hangingChars="204" w:hanging="571"/>
        <w:rPr>
          <w:rFonts w:ascii="標楷體" w:eastAsia="標楷體" w:hAnsi="標楷體"/>
          <w:sz w:val="28"/>
          <w:szCs w:val="28"/>
        </w:rPr>
      </w:pPr>
      <w:r w:rsidRPr="00FF7BD4">
        <w:rPr>
          <w:rFonts w:ascii="標楷體" w:eastAsia="標楷體" w:hAnsi="標楷體" w:hint="eastAsia"/>
          <w:sz w:val="28"/>
          <w:szCs w:val="28"/>
        </w:rPr>
        <w:t>(一)年終考核：專輔人員任職至年終無論是否屆滿一年者，均應予考核。專輔人員之年終初核應於每年十二月十日前辦理，報本府複核。本府應於每年十二月三十一日前辦理專輔人員績效考核。</w:t>
      </w:r>
    </w:p>
    <w:p w14:paraId="5639D88B" w14:textId="77777777" w:rsidR="00DD6F70" w:rsidRPr="00FF7BD4" w:rsidRDefault="00DD6F70" w:rsidP="00DD6F70">
      <w:pPr>
        <w:kinsoku w:val="0"/>
        <w:snapToGrid w:val="0"/>
        <w:ind w:leftChars="285" w:left="1255" w:hangingChars="204" w:hanging="571"/>
        <w:rPr>
          <w:rFonts w:ascii="標楷體" w:eastAsia="標楷體" w:hAnsi="標楷體"/>
          <w:sz w:val="28"/>
          <w:szCs w:val="28"/>
        </w:rPr>
      </w:pPr>
      <w:r w:rsidRPr="00FF7BD4">
        <w:rPr>
          <w:rFonts w:ascii="標楷體" w:eastAsia="標楷體" w:hAnsi="標楷體" w:hint="eastAsia"/>
          <w:sz w:val="28"/>
          <w:szCs w:val="28"/>
        </w:rPr>
        <w:t>(二)平時考核：每年四月、八月、十二月考核一次，並作為年終考核之重要依據，並報本府複核。</w:t>
      </w:r>
    </w:p>
    <w:p w14:paraId="1431446E" w14:textId="5EFACA90" w:rsidR="00DD6F70" w:rsidRPr="00FF7BD4" w:rsidRDefault="00DD6F70" w:rsidP="00DD6F70">
      <w:pPr>
        <w:kinsoku w:val="0"/>
        <w:snapToGrid w:val="0"/>
        <w:ind w:leftChars="285" w:left="1255" w:hangingChars="204" w:hanging="571"/>
        <w:rPr>
          <w:rFonts w:ascii="標楷體" w:eastAsia="標楷體" w:hAnsi="標楷體"/>
          <w:sz w:val="28"/>
          <w:szCs w:val="28"/>
        </w:rPr>
      </w:pPr>
      <w:r w:rsidRPr="00FF7BD4">
        <w:rPr>
          <w:rFonts w:ascii="標楷體" w:eastAsia="標楷體" w:hAnsi="標楷體" w:hint="eastAsia"/>
          <w:sz w:val="28"/>
          <w:szCs w:val="28"/>
        </w:rPr>
        <w:t>(三)專</w:t>
      </w:r>
      <w:r w:rsidRPr="00FF7BD4">
        <w:rPr>
          <w:rFonts w:ascii="標楷體" w:eastAsia="標楷體" w:hAnsi="標楷體" w:hint="eastAsia"/>
          <w:snapToGrid w:val="0"/>
          <w:kern w:val="56"/>
          <w:sz w:val="28"/>
          <w:szCs w:val="28"/>
        </w:rPr>
        <w:t>案考核：於有重大功過或違反契約相關規定時，隨時辦理之。</w:t>
      </w:r>
    </w:p>
    <w:p w14:paraId="77E07355" w14:textId="363D26CC" w:rsidR="006D1911" w:rsidRPr="00FF7BD4" w:rsidRDefault="006D1911" w:rsidP="006D1911">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三、專輔人員之考核程序如下：</w:t>
      </w:r>
    </w:p>
    <w:p w14:paraId="78B5850D" w14:textId="77777777" w:rsidR="005A3B45" w:rsidRPr="00FF7BD4" w:rsidRDefault="008D7D8C" w:rsidP="00E67EDE">
      <w:pPr>
        <w:snapToGrid w:val="0"/>
        <w:ind w:leftChars="225" w:left="672" w:hangingChars="47" w:hanging="132"/>
        <w:rPr>
          <w:rFonts w:ascii="標楷體" w:eastAsia="標楷體" w:hAnsi="標楷體"/>
          <w:sz w:val="28"/>
          <w:szCs w:val="28"/>
        </w:rPr>
      </w:pPr>
      <w:r w:rsidRPr="00FF7BD4">
        <w:rPr>
          <w:rFonts w:ascii="標楷體" w:eastAsia="標楷體" w:hAnsi="標楷體" w:hint="eastAsia"/>
          <w:sz w:val="28"/>
          <w:szCs w:val="28"/>
        </w:rPr>
        <w:t>(一)桃園市學生輔導諮商中心（以下簡稱輔諮中心）初核：</w:t>
      </w:r>
    </w:p>
    <w:p w14:paraId="66BE499E" w14:textId="22B46C28" w:rsidR="008D7D8C"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1</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督導人員：由輔諮中心主任進行初核。</w:t>
      </w:r>
    </w:p>
    <w:p w14:paraId="2D1B2304" w14:textId="1453F611" w:rsidR="008D7D8C"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2</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駐區專輔人員：由輔諮中心主任暨督導群進行初核。</w:t>
      </w:r>
    </w:p>
    <w:p w14:paraId="051B2A85" w14:textId="51EE4169" w:rsidR="005A3B45" w:rsidRPr="00FF7BD4" w:rsidRDefault="008D7D8C" w:rsidP="000741CD">
      <w:pPr>
        <w:snapToGrid w:val="0"/>
        <w:ind w:leftChars="495" w:left="1608" w:hangingChars="150" w:hanging="420"/>
        <w:rPr>
          <w:rFonts w:ascii="標楷體" w:eastAsia="標楷體" w:hAnsi="標楷體"/>
          <w:sz w:val="28"/>
          <w:szCs w:val="28"/>
        </w:rPr>
      </w:pPr>
      <w:r w:rsidRPr="00FF7BD4">
        <w:rPr>
          <w:rFonts w:ascii="標楷體" w:eastAsia="標楷體" w:hAnsi="標楷體" w:hint="eastAsia"/>
          <w:sz w:val="28"/>
          <w:szCs w:val="28"/>
        </w:rPr>
        <w:t>3</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駐站專輔人員：由輔諮中心主任、督導群暨駐站學校初核；輔諮中心主任及督導群之考評占百分之七十、駐站學校之考評占百分之三十。</w:t>
      </w:r>
    </w:p>
    <w:p w14:paraId="4D56B1AD" w14:textId="1FB65201" w:rsidR="00DD6F70" w:rsidRPr="00FF7BD4" w:rsidRDefault="008D7D8C" w:rsidP="00DD6F70">
      <w:pPr>
        <w:snapToGrid w:val="0"/>
        <w:ind w:leftChars="221" w:left="1370" w:hangingChars="300" w:hanging="840"/>
        <w:rPr>
          <w:rFonts w:ascii="標楷體" w:eastAsia="標楷體" w:hAnsi="標楷體"/>
          <w:sz w:val="28"/>
          <w:szCs w:val="28"/>
        </w:rPr>
      </w:pPr>
      <w:r w:rsidRPr="00FF7BD4">
        <w:rPr>
          <w:rFonts w:ascii="標楷體" w:eastAsia="標楷體" w:hAnsi="標楷體" w:hint="eastAsia"/>
          <w:sz w:val="28"/>
          <w:szCs w:val="28"/>
        </w:rPr>
        <w:t>(二)</w:t>
      </w:r>
      <w:r w:rsidR="00B75C3B" w:rsidRPr="00FF7BD4">
        <w:rPr>
          <w:rFonts w:ascii="標楷體" w:eastAsia="標楷體" w:hAnsi="標楷體" w:hint="eastAsia"/>
          <w:sz w:val="28"/>
          <w:szCs w:val="28"/>
        </w:rPr>
        <w:t>本府</w:t>
      </w:r>
      <w:r w:rsidRPr="00FF7BD4">
        <w:rPr>
          <w:rFonts w:ascii="標楷體" w:eastAsia="標楷體" w:hAnsi="標楷體" w:hint="eastAsia"/>
          <w:sz w:val="28"/>
          <w:szCs w:val="28"/>
        </w:rPr>
        <w:t>複核</w:t>
      </w:r>
      <w:r w:rsidR="000C7FC1" w:rsidRPr="00FF7BD4">
        <w:rPr>
          <w:rFonts w:ascii="標楷體" w:eastAsia="標楷體" w:hAnsi="標楷體" w:hint="eastAsia"/>
          <w:sz w:val="28"/>
          <w:szCs w:val="28"/>
        </w:rPr>
        <w:t>。</w:t>
      </w:r>
    </w:p>
    <w:p w14:paraId="362A5E6F" w14:textId="77777777" w:rsidR="008D7D8C" w:rsidRPr="00FF7BD4" w:rsidRDefault="006D1911" w:rsidP="008D7D8C">
      <w:pPr>
        <w:snapToGrid w:val="0"/>
        <w:ind w:left="560" w:hangingChars="200" w:hanging="560"/>
        <w:rPr>
          <w:rFonts w:ascii="標楷體" w:eastAsia="標楷體" w:hAnsi="標楷體"/>
          <w:sz w:val="28"/>
          <w:szCs w:val="28"/>
        </w:rPr>
      </w:pPr>
      <w:r w:rsidRPr="00FF7BD4">
        <w:rPr>
          <w:rFonts w:ascii="標楷體" w:eastAsia="標楷體" w:hAnsi="標楷體" w:hint="eastAsia"/>
          <w:sz w:val="28"/>
          <w:szCs w:val="28"/>
        </w:rPr>
        <w:t>四</w:t>
      </w:r>
      <w:r w:rsidR="008D7D8C" w:rsidRPr="00FF7BD4">
        <w:rPr>
          <w:rFonts w:ascii="標楷體" w:eastAsia="標楷體" w:hAnsi="標楷體" w:hint="eastAsia"/>
          <w:sz w:val="28"/>
          <w:szCs w:val="28"/>
        </w:rPr>
        <w:t>、專輔人員之考核項目如下：</w:t>
      </w:r>
    </w:p>
    <w:p w14:paraId="127597AD" w14:textId="77777777" w:rsidR="008D7D8C" w:rsidRPr="00FF7BD4" w:rsidRDefault="008D7D8C" w:rsidP="00E67EDE">
      <w:pPr>
        <w:snapToGrid w:val="0"/>
        <w:ind w:leftChars="233" w:left="1399" w:hangingChars="300" w:hanging="840"/>
        <w:rPr>
          <w:rFonts w:ascii="標楷體" w:eastAsia="標楷體" w:hAnsi="標楷體"/>
          <w:sz w:val="28"/>
          <w:szCs w:val="28"/>
        </w:rPr>
      </w:pPr>
      <w:r w:rsidRPr="00FF7BD4">
        <w:rPr>
          <w:rFonts w:ascii="標楷體" w:eastAsia="標楷體" w:hAnsi="標楷體" w:hint="eastAsia"/>
          <w:sz w:val="28"/>
          <w:szCs w:val="28"/>
        </w:rPr>
        <w:t>(一)督導人員：</w:t>
      </w:r>
    </w:p>
    <w:p w14:paraId="44488909" w14:textId="7169C17D"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1</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工作占百分之五十(時效、品質、方法、勤勉、溝通、創造思考、團隊合作及督導技能)。</w:t>
      </w:r>
    </w:p>
    <w:p w14:paraId="2DBDF929" w14:textId="11AD60A0"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2</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操行占百分之三十（忠誠、專業倫理及品德）。</w:t>
      </w:r>
    </w:p>
    <w:p w14:paraId="6C0C5A08" w14:textId="7BC53F62"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3</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才能占百分之十（專業度及潛力）。</w:t>
      </w:r>
    </w:p>
    <w:p w14:paraId="30E6D154" w14:textId="1CEEB115" w:rsidR="008D7D8C" w:rsidRPr="00FF7BD4" w:rsidRDefault="008D7D8C" w:rsidP="000741CD">
      <w:pPr>
        <w:snapToGrid w:val="0"/>
        <w:ind w:leftChars="502" w:left="1608" w:hangingChars="144" w:hanging="403"/>
        <w:rPr>
          <w:rFonts w:ascii="標楷體" w:eastAsia="標楷體" w:hAnsi="標楷體"/>
          <w:sz w:val="28"/>
          <w:szCs w:val="28"/>
        </w:rPr>
      </w:pPr>
      <w:r w:rsidRPr="00FF7BD4">
        <w:rPr>
          <w:rFonts w:ascii="標楷體" w:eastAsia="標楷體" w:hAnsi="標楷體" w:hint="eastAsia"/>
          <w:sz w:val="28"/>
          <w:szCs w:val="28"/>
        </w:rPr>
        <w:t>4</w:t>
      </w:r>
      <w:r w:rsidR="00003D56" w:rsidRPr="00FF7BD4">
        <w:rPr>
          <w:rFonts w:ascii="標楷體" w:eastAsia="標楷體" w:hAnsi="標楷體" w:hint="eastAsia"/>
          <w:sz w:val="28"/>
          <w:szCs w:val="28"/>
        </w:rPr>
        <w:t>、</w:t>
      </w:r>
      <w:r w:rsidRPr="00FF7BD4">
        <w:rPr>
          <w:rFonts w:ascii="標楷體" w:eastAsia="標楷體" w:hAnsi="標楷體" w:hint="eastAsia"/>
          <w:sz w:val="28"/>
          <w:szCs w:val="28"/>
        </w:rPr>
        <w:t>學識占百分之十（學識及服務）。</w:t>
      </w:r>
    </w:p>
    <w:p w14:paraId="21F95710" w14:textId="77777777" w:rsidR="008D7D8C" w:rsidRPr="00FF7BD4" w:rsidRDefault="006D1911" w:rsidP="00E67EDE">
      <w:pPr>
        <w:snapToGrid w:val="0"/>
        <w:ind w:leftChars="233" w:left="1399" w:hangingChars="300" w:hanging="840"/>
        <w:rPr>
          <w:rFonts w:ascii="標楷體" w:eastAsia="標楷體" w:hAnsi="標楷體"/>
          <w:sz w:val="28"/>
          <w:szCs w:val="28"/>
        </w:rPr>
      </w:pPr>
      <w:r w:rsidRPr="00FF7BD4">
        <w:rPr>
          <w:rFonts w:ascii="標楷體" w:eastAsia="標楷體" w:hAnsi="標楷體" w:hint="eastAsia"/>
          <w:sz w:val="28"/>
          <w:szCs w:val="28"/>
        </w:rPr>
        <w:t>(二)</w:t>
      </w:r>
      <w:r w:rsidR="008D7D8C" w:rsidRPr="00FF7BD4">
        <w:rPr>
          <w:rFonts w:ascii="標楷體" w:eastAsia="標楷體" w:hAnsi="標楷體" w:hint="eastAsia"/>
          <w:sz w:val="28"/>
          <w:szCs w:val="28"/>
        </w:rPr>
        <w:t>專輔人員：</w:t>
      </w:r>
    </w:p>
    <w:p w14:paraId="758DC897" w14:textId="303CA343" w:rsidR="008D7D8C" w:rsidRPr="00FF7BD4" w:rsidRDefault="008D7D8C" w:rsidP="000741CD">
      <w:pPr>
        <w:snapToGrid w:val="0"/>
        <w:ind w:leftChars="502" w:left="1622" w:hangingChars="149" w:hanging="417"/>
        <w:rPr>
          <w:rFonts w:ascii="標楷體" w:eastAsia="標楷體" w:hAnsi="標楷體"/>
          <w:sz w:val="28"/>
          <w:szCs w:val="28"/>
        </w:rPr>
      </w:pPr>
      <w:r w:rsidRPr="00FF7BD4">
        <w:rPr>
          <w:rFonts w:ascii="標楷體" w:eastAsia="標楷體" w:hAnsi="標楷體" w:hint="eastAsia"/>
          <w:sz w:val="28"/>
          <w:szCs w:val="28"/>
        </w:rPr>
        <w:t>1</w:t>
      </w:r>
      <w:r w:rsidR="000741CD">
        <w:rPr>
          <w:rFonts w:ascii="標楷體" w:eastAsia="標楷體" w:hAnsi="標楷體" w:hint="eastAsia"/>
          <w:sz w:val="28"/>
          <w:szCs w:val="28"/>
        </w:rPr>
        <w:t>、</w:t>
      </w:r>
      <w:r w:rsidRPr="00FF7BD4">
        <w:rPr>
          <w:rFonts w:ascii="標楷體" w:eastAsia="標楷體" w:hAnsi="標楷體" w:hint="eastAsia"/>
          <w:sz w:val="28"/>
          <w:szCs w:val="28"/>
        </w:rPr>
        <w:t>工作占百分之五十(時效、品質、方法、勤勉、溝通、創造思考及團隊合作)。</w:t>
      </w:r>
    </w:p>
    <w:p w14:paraId="5B554982" w14:textId="721718C0" w:rsidR="008D7D8C"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2</w:t>
      </w:r>
      <w:r w:rsidR="000741CD">
        <w:rPr>
          <w:rFonts w:ascii="標楷體" w:eastAsia="標楷體" w:hAnsi="標楷體" w:hint="eastAsia"/>
          <w:sz w:val="28"/>
          <w:szCs w:val="28"/>
        </w:rPr>
        <w:t>、</w:t>
      </w:r>
      <w:r w:rsidRPr="00FF7BD4">
        <w:rPr>
          <w:rFonts w:ascii="標楷體" w:eastAsia="標楷體" w:hAnsi="標楷體" w:hint="eastAsia"/>
          <w:sz w:val="28"/>
          <w:szCs w:val="28"/>
        </w:rPr>
        <w:t>操行占百分之三十（忠誠、專業倫理及品德）。</w:t>
      </w:r>
    </w:p>
    <w:p w14:paraId="71F1D56B" w14:textId="2A3C6738" w:rsidR="008D7D8C"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3</w:t>
      </w:r>
      <w:r w:rsidR="000741CD">
        <w:rPr>
          <w:rFonts w:ascii="標楷體" w:eastAsia="標楷體" w:hAnsi="標楷體" w:hint="eastAsia"/>
          <w:sz w:val="28"/>
          <w:szCs w:val="28"/>
        </w:rPr>
        <w:t>、</w:t>
      </w:r>
      <w:r w:rsidRPr="00FF7BD4">
        <w:rPr>
          <w:rFonts w:ascii="標楷體" w:eastAsia="標楷體" w:hAnsi="標楷體" w:hint="eastAsia"/>
          <w:sz w:val="28"/>
          <w:szCs w:val="28"/>
        </w:rPr>
        <w:t>才能占百分之十（專業度及潛力）。</w:t>
      </w:r>
    </w:p>
    <w:p w14:paraId="659557DD" w14:textId="4F07E52B" w:rsidR="00675375" w:rsidRPr="00FF7BD4" w:rsidRDefault="008D7D8C" w:rsidP="000741CD">
      <w:pPr>
        <w:snapToGrid w:val="0"/>
        <w:ind w:leftChars="502" w:left="1477" w:hangingChars="97" w:hanging="272"/>
        <w:rPr>
          <w:rFonts w:ascii="標楷體" w:eastAsia="標楷體" w:hAnsi="標楷體"/>
          <w:sz w:val="28"/>
          <w:szCs w:val="28"/>
        </w:rPr>
      </w:pPr>
      <w:r w:rsidRPr="00FF7BD4">
        <w:rPr>
          <w:rFonts w:ascii="標楷體" w:eastAsia="標楷體" w:hAnsi="標楷體" w:hint="eastAsia"/>
          <w:sz w:val="28"/>
          <w:szCs w:val="28"/>
        </w:rPr>
        <w:t>4</w:t>
      </w:r>
      <w:r w:rsidR="000741CD">
        <w:rPr>
          <w:rFonts w:ascii="標楷體" w:eastAsia="標楷體" w:hAnsi="標楷體" w:hint="eastAsia"/>
          <w:sz w:val="28"/>
          <w:szCs w:val="28"/>
        </w:rPr>
        <w:t>、</w:t>
      </w:r>
      <w:r w:rsidRPr="00FF7BD4">
        <w:rPr>
          <w:rFonts w:ascii="標楷體" w:eastAsia="標楷體" w:hAnsi="標楷體" w:hint="eastAsia"/>
          <w:sz w:val="28"/>
          <w:szCs w:val="28"/>
        </w:rPr>
        <w:t>學識占百分之十（學識及服務）。</w:t>
      </w:r>
    </w:p>
    <w:p w14:paraId="3C30D32C" w14:textId="6F321B02" w:rsidR="00B75C3B" w:rsidRPr="00FF7BD4" w:rsidRDefault="006D1911" w:rsidP="00B75C3B">
      <w:pPr>
        <w:snapToGrid w:val="0"/>
        <w:ind w:leftChars="18" w:left="589" w:hangingChars="195" w:hanging="546"/>
        <w:jc w:val="both"/>
        <w:rPr>
          <w:rFonts w:ascii="標楷體" w:eastAsia="標楷體" w:hAnsi="標楷體"/>
          <w:sz w:val="28"/>
          <w:szCs w:val="28"/>
        </w:rPr>
      </w:pPr>
      <w:r w:rsidRPr="00FF7BD4">
        <w:rPr>
          <w:rFonts w:ascii="標楷體" w:eastAsia="標楷體" w:hAnsi="標楷體" w:hint="eastAsia"/>
          <w:sz w:val="28"/>
          <w:szCs w:val="28"/>
        </w:rPr>
        <w:t>五</w:t>
      </w:r>
      <w:r w:rsidR="008D7D8C" w:rsidRPr="00FF7BD4">
        <w:rPr>
          <w:rFonts w:ascii="標楷體" w:eastAsia="標楷體" w:hAnsi="標楷體" w:hint="eastAsia"/>
          <w:sz w:val="28"/>
          <w:szCs w:val="28"/>
        </w:rPr>
        <w:t>、</w:t>
      </w:r>
      <w:r w:rsidR="00B75C3B" w:rsidRPr="00FF7BD4">
        <w:rPr>
          <w:rFonts w:ascii="標楷體" w:eastAsia="標楷體" w:hAnsi="標楷體" w:hint="eastAsia"/>
          <w:sz w:val="28"/>
          <w:szCs w:val="28"/>
        </w:rPr>
        <w:t>輔諮中心辦理專輔人員平時考核時，應將專輔人員優劣事蹟</w:t>
      </w:r>
      <w:r w:rsidR="00003D56" w:rsidRPr="00FF7BD4">
        <w:rPr>
          <w:rFonts w:ascii="標楷體" w:eastAsia="標楷體" w:hAnsi="標楷體" w:hint="eastAsia"/>
          <w:sz w:val="28"/>
          <w:szCs w:val="28"/>
        </w:rPr>
        <w:t>記</w:t>
      </w:r>
      <w:r w:rsidR="00B75C3B" w:rsidRPr="00FF7BD4">
        <w:rPr>
          <w:rFonts w:ascii="標楷體" w:eastAsia="標楷體" w:hAnsi="標楷體" w:hint="eastAsia"/>
          <w:sz w:val="28"/>
          <w:szCs w:val="28"/>
        </w:rPr>
        <w:t>錄於平時考核</w:t>
      </w:r>
      <w:r w:rsidR="00003D56" w:rsidRPr="00FF7BD4">
        <w:rPr>
          <w:rFonts w:ascii="標楷體" w:eastAsia="標楷體" w:hAnsi="標楷體" w:hint="eastAsia"/>
          <w:sz w:val="28"/>
          <w:szCs w:val="28"/>
        </w:rPr>
        <w:t>紀</w:t>
      </w:r>
      <w:r w:rsidR="00B75C3B" w:rsidRPr="00FF7BD4">
        <w:rPr>
          <w:rFonts w:ascii="標楷體" w:eastAsia="標楷體" w:hAnsi="標楷體" w:hint="eastAsia"/>
          <w:sz w:val="28"/>
          <w:szCs w:val="28"/>
        </w:rPr>
        <w:t>錄表，平時考核等級，分為三級如下：</w:t>
      </w:r>
    </w:p>
    <w:p w14:paraId="382210CF"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t>A級：表現超出要求水準。</w:t>
      </w:r>
    </w:p>
    <w:p w14:paraId="0DEB962A"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lastRenderedPageBreak/>
        <w:t>B級：表現尚能達到要求水準。</w:t>
      </w:r>
    </w:p>
    <w:p w14:paraId="21EC8F3E" w14:textId="77777777" w:rsidR="00B75C3B" w:rsidRPr="00FF7BD4" w:rsidRDefault="00B75C3B" w:rsidP="00B75C3B">
      <w:pPr>
        <w:numPr>
          <w:ilvl w:val="2"/>
          <w:numId w:val="6"/>
        </w:numPr>
        <w:snapToGrid w:val="0"/>
        <w:ind w:left="1218" w:hanging="579"/>
        <w:jc w:val="both"/>
        <w:rPr>
          <w:rFonts w:ascii="標楷體" w:eastAsia="標楷體" w:hAnsi="標楷體"/>
          <w:sz w:val="28"/>
          <w:szCs w:val="28"/>
        </w:rPr>
      </w:pPr>
      <w:r w:rsidRPr="00FF7BD4">
        <w:rPr>
          <w:rFonts w:ascii="標楷體" w:eastAsia="標楷體" w:hAnsi="標楷體" w:hint="eastAsia"/>
          <w:sz w:val="28"/>
          <w:szCs w:val="28"/>
        </w:rPr>
        <w:t>C級：表現未盡符合基本要求。</w:t>
      </w:r>
    </w:p>
    <w:p w14:paraId="2D58AC00" w14:textId="7BAE1159" w:rsidR="008D7D8C" w:rsidRPr="00FF7BD4" w:rsidRDefault="00B75C3B" w:rsidP="00BD1A00">
      <w:pPr>
        <w:snapToGrid w:val="0"/>
        <w:ind w:leftChars="233" w:left="559"/>
        <w:rPr>
          <w:rFonts w:ascii="標楷體" w:eastAsia="標楷體" w:hAnsi="標楷體"/>
          <w:sz w:val="28"/>
          <w:szCs w:val="28"/>
        </w:rPr>
      </w:pPr>
      <w:r w:rsidRPr="00FF7BD4">
        <w:rPr>
          <w:rFonts w:ascii="標楷體" w:eastAsia="標楷體" w:hAnsi="標楷體" w:hint="eastAsia"/>
          <w:sz w:val="28"/>
          <w:szCs w:val="28"/>
        </w:rPr>
        <w:t>平時考核受考人考評項目中有C級者，單位主管應與當事人面談，並將面談結果詳實記錄於面談紀錄表，以提升工作績效。</w:t>
      </w:r>
    </w:p>
    <w:p w14:paraId="5571FA3B" w14:textId="77777777" w:rsidR="00BD1A00" w:rsidRPr="00FF7BD4" w:rsidRDefault="00B75C3B" w:rsidP="00BD1A00">
      <w:pPr>
        <w:snapToGrid w:val="0"/>
        <w:jc w:val="both"/>
        <w:rPr>
          <w:rFonts w:ascii="標楷體" w:eastAsia="標楷體" w:hAnsi="標楷體"/>
          <w:sz w:val="28"/>
          <w:szCs w:val="28"/>
        </w:rPr>
      </w:pPr>
      <w:r w:rsidRPr="00FF7BD4">
        <w:rPr>
          <w:rFonts w:ascii="標楷體" w:eastAsia="標楷體" w:hAnsi="標楷體" w:hint="eastAsia"/>
          <w:sz w:val="28"/>
          <w:szCs w:val="28"/>
        </w:rPr>
        <w:t>六、</w:t>
      </w:r>
      <w:r w:rsidR="00BD1A00" w:rsidRPr="00FF7BD4">
        <w:rPr>
          <w:rFonts w:ascii="標楷體" w:eastAsia="標楷體" w:hAnsi="標楷體" w:hint="eastAsia"/>
          <w:sz w:val="28"/>
          <w:szCs w:val="28"/>
        </w:rPr>
        <w:t>專輔人員之平時考核與專案考核分別依下列規定：</w:t>
      </w:r>
    </w:p>
    <w:p w14:paraId="6266A1FB" w14:textId="77777777" w:rsidR="00BD1A00" w:rsidRPr="00FF7BD4" w:rsidRDefault="00BD1A00" w:rsidP="00BD1A00">
      <w:pPr>
        <w:snapToGrid w:val="0"/>
        <w:ind w:leftChars="250" w:left="1160" w:hangingChars="200" w:hanging="560"/>
        <w:jc w:val="both"/>
        <w:rPr>
          <w:rFonts w:ascii="標楷體" w:eastAsia="標楷體" w:hAnsi="標楷體"/>
          <w:sz w:val="28"/>
          <w:szCs w:val="28"/>
        </w:rPr>
      </w:pPr>
      <w:r w:rsidRPr="00FF7BD4">
        <w:rPr>
          <w:rFonts w:ascii="標楷體" w:eastAsia="標楷體" w:hAnsi="標楷體" w:hint="eastAsia"/>
          <w:sz w:val="28"/>
          <w:szCs w:val="28"/>
        </w:rPr>
        <w:t>(一)平時考核：獎勵分嘉獎、記功及記大功；懲處分申誡、記過及記大過，於年終考核時，併計考核增減總分。</w:t>
      </w:r>
    </w:p>
    <w:p w14:paraId="6AF45AA3" w14:textId="50262502" w:rsidR="00BD1A00" w:rsidRPr="00FF7BD4" w:rsidRDefault="00BD1A00" w:rsidP="00BD1A00">
      <w:pPr>
        <w:snapToGrid w:val="0"/>
        <w:ind w:leftChars="250" w:left="1160" w:hangingChars="200" w:hanging="560"/>
        <w:jc w:val="both"/>
        <w:rPr>
          <w:rFonts w:ascii="標楷體" w:eastAsia="標楷體" w:hAnsi="標楷體"/>
          <w:sz w:val="28"/>
          <w:szCs w:val="28"/>
        </w:rPr>
      </w:pPr>
      <w:r w:rsidRPr="00FF7BD4">
        <w:rPr>
          <w:rFonts w:ascii="標楷體" w:eastAsia="標楷體" w:hAnsi="標楷體" w:hint="eastAsia"/>
          <w:sz w:val="28"/>
          <w:szCs w:val="28"/>
        </w:rPr>
        <w:t>(二)專案考核：於有重大功過或違反契約相關規定時，隨時辦理；其獎懲依下列規定：</w:t>
      </w:r>
    </w:p>
    <w:p w14:paraId="3B460378" w14:textId="77777777" w:rsidR="00BD1A00" w:rsidRPr="00FF7BD4" w:rsidRDefault="00BD1A00" w:rsidP="00BD1A00">
      <w:pPr>
        <w:numPr>
          <w:ilvl w:val="1"/>
          <w:numId w:val="7"/>
        </w:numPr>
        <w:kinsoku w:val="0"/>
        <w:snapToGrid w:val="0"/>
        <w:ind w:left="1661" w:hanging="433"/>
        <w:jc w:val="both"/>
        <w:rPr>
          <w:rFonts w:ascii="標楷體" w:eastAsia="標楷體" w:hAnsi="標楷體"/>
          <w:sz w:val="28"/>
          <w:szCs w:val="28"/>
        </w:rPr>
      </w:pPr>
      <w:r w:rsidRPr="00FF7BD4">
        <w:rPr>
          <w:rFonts w:ascii="標楷體" w:eastAsia="標楷體" w:hAnsi="標楷體" w:hint="eastAsia"/>
          <w:sz w:val="28"/>
          <w:szCs w:val="28"/>
        </w:rPr>
        <w:t>一次記二大功者，列入次年度優先續聘。</w:t>
      </w:r>
    </w:p>
    <w:p w14:paraId="0057AD6A" w14:textId="101BA5A4" w:rsidR="00BD1A00" w:rsidRPr="00FF7BD4" w:rsidRDefault="00BD1A00" w:rsidP="00BD1A00">
      <w:pPr>
        <w:numPr>
          <w:ilvl w:val="1"/>
          <w:numId w:val="7"/>
        </w:numPr>
        <w:kinsoku w:val="0"/>
        <w:snapToGrid w:val="0"/>
        <w:ind w:left="1661" w:hanging="431"/>
        <w:jc w:val="both"/>
        <w:rPr>
          <w:rFonts w:ascii="標楷體" w:eastAsia="標楷體" w:hAnsi="標楷體"/>
          <w:sz w:val="28"/>
          <w:szCs w:val="28"/>
        </w:rPr>
      </w:pPr>
      <w:r w:rsidRPr="00FF7BD4">
        <w:rPr>
          <w:rFonts w:ascii="標楷體" w:eastAsia="標楷體" w:hAnsi="標楷體" w:hint="eastAsia"/>
          <w:sz w:val="28"/>
          <w:szCs w:val="28"/>
        </w:rPr>
        <w:t>一次記二大過者或遇有下列情事之一，即予以解聘：</w:t>
      </w:r>
    </w:p>
    <w:p w14:paraId="68F69909" w14:textId="0AF449D8" w:rsidR="00BD1A00" w:rsidRPr="00FF7BD4" w:rsidRDefault="00BD1A00" w:rsidP="00BD1A00">
      <w:pPr>
        <w:kinsoku w:val="0"/>
        <w:snapToGrid w:val="0"/>
        <w:ind w:leftChars="606" w:left="1871" w:rightChars="-16" w:right="-38" w:hangingChars="149" w:hanging="417"/>
        <w:jc w:val="both"/>
        <w:rPr>
          <w:rFonts w:ascii="標楷體" w:eastAsia="標楷體" w:hAnsi="標楷體"/>
          <w:sz w:val="28"/>
          <w:szCs w:val="28"/>
        </w:rPr>
      </w:pPr>
      <w:r w:rsidRPr="00FF7BD4">
        <w:rPr>
          <w:rFonts w:ascii="標楷體" w:eastAsia="標楷體" w:hAnsi="標楷體" w:hint="eastAsia"/>
          <w:sz w:val="28"/>
          <w:szCs w:val="28"/>
        </w:rPr>
        <w:t>(1)挑撥離間或誣控濫告，情節重大，經疏導無效，有確實證據者。</w:t>
      </w:r>
    </w:p>
    <w:p w14:paraId="1FA90BC0" w14:textId="4333868E" w:rsidR="00BD1A00" w:rsidRPr="00FF7BD4" w:rsidRDefault="00BD1A00" w:rsidP="00BD1A00">
      <w:pPr>
        <w:kinsoku w:val="0"/>
        <w:snapToGrid w:val="0"/>
        <w:ind w:leftChars="599" w:left="1438" w:rightChars="-16" w:right="-38"/>
        <w:jc w:val="both"/>
        <w:rPr>
          <w:rFonts w:ascii="標楷體" w:eastAsia="標楷體" w:hAnsi="標楷體"/>
          <w:sz w:val="28"/>
          <w:szCs w:val="28"/>
        </w:rPr>
      </w:pPr>
      <w:r w:rsidRPr="00FF7BD4">
        <w:rPr>
          <w:rFonts w:ascii="標楷體" w:eastAsia="標楷體" w:hAnsi="標楷體" w:hint="eastAsia"/>
          <w:sz w:val="28"/>
          <w:szCs w:val="28"/>
        </w:rPr>
        <w:t>(2)不聽指揮破壞紀律，經疏導無效，有確實證據者。</w:t>
      </w:r>
    </w:p>
    <w:p w14:paraId="58E70D97" w14:textId="07511157" w:rsidR="00BD1A00" w:rsidRPr="00FF7BD4" w:rsidRDefault="00BD1A00" w:rsidP="00BD1A00">
      <w:pPr>
        <w:kinsoku w:val="0"/>
        <w:snapToGrid w:val="0"/>
        <w:ind w:leftChars="606" w:left="1859" w:rightChars="-16" w:right="-38" w:hanging="405"/>
        <w:jc w:val="both"/>
        <w:rPr>
          <w:rFonts w:ascii="標楷體" w:eastAsia="標楷體" w:hAnsi="標楷體"/>
          <w:sz w:val="28"/>
          <w:szCs w:val="28"/>
        </w:rPr>
      </w:pPr>
      <w:r w:rsidRPr="00FF7BD4">
        <w:rPr>
          <w:rFonts w:ascii="標楷體" w:eastAsia="標楷體" w:hAnsi="標楷體" w:hint="eastAsia"/>
          <w:sz w:val="28"/>
          <w:szCs w:val="28"/>
        </w:rPr>
        <w:t>(3)怠忽職守，稽延公務，造成重大不良後果，有確實證據者。</w:t>
      </w:r>
    </w:p>
    <w:p w14:paraId="4F76C411" w14:textId="0163FD5E" w:rsidR="00BD1A00" w:rsidRPr="00FF7BD4" w:rsidRDefault="00BD1A00" w:rsidP="00BD1A00">
      <w:pPr>
        <w:kinsoku w:val="0"/>
        <w:snapToGrid w:val="0"/>
        <w:ind w:leftChars="606" w:left="1859" w:rightChars="-16" w:right="-38" w:hanging="405"/>
        <w:jc w:val="both"/>
        <w:rPr>
          <w:rFonts w:ascii="標楷體" w:eastAsia="標楷體" w:hAnsi="標楷體"/>
          <w:sz w:val="28"/>
          <w:szCs w:val="28"/>
        </w:rPr>
      </w:pPr>
      <w:r w:rsidRPr="00FF7BD4">
        <w:rPr>
          <w:rFonts w:ascii="標楷體" w:eastAsia="標楷體" w:hAnsi="標楷體" w:hint="eastAsia"/>
          <w:sz w:val="28"/>
          <w:szCs w:val="28"/>
        </w:rPr>
        <w:t>(4)品行不端，或違反有關法令禁止事項，嚴重損害本府聲譽，有確實證據者。</w:t>
      </w:r>
    </w:p>
    <w:p w14:paraId="3A692958" w14:textId="10F5CE24" w:rsidR="00BD1A00" w:rsidRPr="00FF7BD4" w:rsidRDefault="00BD1A00" w:rsidP="00BD1A00">
      <w:pPr>
        <w:kinsoku w:val="0"/>
        <w:snapToGrid w:val="0"/>
        <w:ind w:leftChars="606" w:left="1837" w:rightChars="-16" w:right="-38" w:hanging="383"/>
        <w:jc w:val="both"/>
        <w:rPr>
          <w:rFonts w:ascii="標楷體" w:eastAsia="標楷體" w:hAnsi="標楷體"/>
          <w:sz w:val="28"/>
          <w:szCs w:val="28"/>
        </w:rPr>
      </w:pPr>
      <w:r w:rsidRPr="00FF7BD4">
        <w:rPr>
          <w:rFonts w:ascii="標楷體" w:eastAsia="標楷體" w:hAnsi="標楷體" w:hint="eastAsia"/>
          <w:sz w:val="28"/>
          <w:szCs w:val="28"/>
        </w:rPr>
        <w:t>(5)曠職連續達四日，或一年內累積達十日者。</w:t>
      </w:r>
    </w:p>
    <w:p w14:paraId="6F63D554" w14:textId="77777777" w:rsidR="00BD1A00" w:rsidRPr="00FF7BD4" w:rsidRDefault="00BD1A00" w:rsidP="00366CB4">
      <w:pPr>
        <w:kinsoku w:val="0"/>
        <w:snapToGrid w:val="0"/>
        <w:ind w:leftChars="239" w:left="574" w:firstLineChars="3" w:firstLine="8"/>
        <w:jc w:val="both"/>
        <w:rPr>
          <w:rFonts w:ascii="標楷體" w:eastAsia="標楷體" w:hAnsi="標楷體"/>
          <w:sz w:val="28"/>
          <w:szCs w:val="28"/>
        </w:rPr>
      </w:pPr>
      <w:r w:rsidRPr="00FF7BD4">
        <w:rPr>
          <w:rFonts w:ascii="標楷體" w:eastAsia="標楷體" w:hAnsi="標楷體" w:hint="eastAsia"/>
          <w:sz w:val="28"/>
          <w:szCs w:val="28"/>
        </w:rPr>
        <w:t>前項專案考核不得與平時考核功過相抵銷。</w:t>
      </w:r>
    </w:p>
    <w:p w14:paraId="57151F80" w14:textId="79759139" w:rsidR="00BD1A00" w:rsidRPr="00FF7BD4" w:rsidRDefault="00BD1A00" w:rsidP="00366CB4">
      <w:pPr>
        <w:snapToGrid w:val="0"/>
        <w:ind w:leftChars="236" w:left="566" w:firstLine="1"/>
        <w:rPr>
          <w:rFonts w:ascii="標楷體" w:eastAsia="標楷體" w:hAnsi="標楷體"/>
          <w:sz w:val="28"/>
          <w:szCs w:val="28"/>
        </w:rPr>
      </w:pPr>
      <w:r w:rsidRPr="00FF7BD4">
        <w:rPr>
          <w:rFonts w:ascii="標楷體" w:eastAsia="標楷體" w:hAnsi="標楷體" w:hint="eastAsia"/>
          <w:sz w:val="28"/>
          <w:szCs w:val="28"/>
        </w:rPr>
        <w:t>專輔人員就專案考核結果如有不服時，得依公務人員保障法提起救濟。</w:t>
      </w:r>
    </w:p>
    <w:p w14:paraId="7D2DF78D" w14:textId="3E907251" w:rsidR="00B75C3B" w:rsidRPr="00FF7BD4" w:rsidRDefault="00B75C3B" w:rsidP="00B75C3B">
      <w:pPr>
        <w:snapToGrid w:val="0"/>
        <w:ind w:leftChars="6" w:left="588" w:hangingChars="205" w:hanging="574"/>
        <w:jc w:val="both"/>
        <w:rPr>
          <w:rFonts w:ascii="標楷體" w:eastAsia="標楷體" w:hAnsi="標楷體"/>
          <w:sz w:val="28"/>
          <w:szCs w:val="28"/>
        </w:rPr>
      </w:pPr>
      <w:r w:rsidRPr="00FF7BD4">
        <w:rPr>
          <w:rFonts w:ascii="標楷體" w:eastAsia="標楷體" w:hAnsi="標楷體" w:hint="eastAsia"/>
          <w:sz w:val="28"/>
          <w:szCs w:val="28"/>
        </w:rPr>
        <w:t>七、專輔人員年終考核以一百分為滿分，分甲、乙、丙三等，各等分數及獎懲規定如下：</w:t>
      </w:r>
    </w:p>
    <w:p w14:paraId="677EDF32" w14:textId="77777777"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hint="eastAsia"/>
          <w:sz w:val="28"/>
          <w:szCs w:val="28"/>
        </w:rPr>
        <w:t>(一)甲等：八十分以上，晉薪點一階續聘。</w:t>
      </w:r>
    </w:p>
    <w:p w14:paraId="1216FC66" w14:textId="3E7BD9EE"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sz w:val="28"/>
          <w:szCs w:val="28"/>
        </w:rPr>
        <w:t>(</w:t>
      </w:r>
      <w:r w:rsidRPr="00FF7BD4">
        <w:rPr>
          <w:rFonts w:ascii="標楷體" w:eastAsia="標楷體" w:hAnsi="標楷體" w:hint="eastAsia"/>
          <w:sz w:val="28"/>
          <w:szCs w:val="28"/>
        </w:rPr>
        <w:t>二</w:t>
      </w:r>
      <w:r w:rsidRPr="00FF7BD4">
        <w:rPr>
          <w:rFonts w:ascii="標楷體" w:eastAsia="標楷體" w:hAnsi="標楷體"/>
          <w:sz w:val="28"/>
          <w:szCs w:val="28"/>
        </w:rPr>
        <w:t>)</w:t>
      </w:r>
      <w:r w:rsidRPr="00FF7BD4">
        <w:rPr>
          <w:rFonts w:ascii="標楷體" w:eastAsia="標楷體" w:hAnsi="標楷體" w:hint="eastAsia"/>
          <w:sz w:val="28"/>
          <w:szCs w:val="28"/>
        </w:rPr>
        <w:t>乙等：七十分以上，未滿八十分，留原薪點續聘。</w:t>
      </w:r>
    </w:p>
    <w:p w14:paraId="16DD7E91" w14:textId="77777777" w:rsidR="00B75C3B" w:rsidRPr="00FF7BD4" w:rsidRDefault="00B75C3B" w:rsidP="00B75C3B">
      <w:pPr>
        <w:snapToGrid w:val="0"/>
        <w:ind w:leftChars="231" w:left="1106" w:hangingChars="197" w:hanging="552"/>
        <w:jc w:val="both"/>
        <w:rPr>
          <w:rFonts w:ascii="標楷體" w:eastAsia="標楷體" w:hAnsi="標楷體"/>
          <w:sz w:val="28"/>
          <w:szCs w:val="28"/>
        </w:rPr>
      </w:pPr>
      <w:r w:rsidRPr="00FF7BD4">
        <w:rPr>
          <w:rFonts w:ascii="標楷體" w:eastAsia="標楷體" w:hAnsi="標楷體" w:hint="eastAsia"/>
          <w:sz w:val="28"/>
          <w:szCs w:val="28"/>
        </w:rPr>
        <w:t>(三)丙等：未滿七十分，不續聘。</w:t>
      </w:r>
    </w:p>
    <w:p w14:paraId="4A4D4C47" w14:textId="77777777" w:rsidR="00B75C3B" w:rsidRPr="00FF7BD4" w:rsidRDefault="00B75C3B" w:rsidP="00B75C3B">
      <w:pPr>
        <w:snapToGrid w:val="0"/>
        <w:ind w:leftChars="241" w:left="578"/>
        <w:jc w:val="both"/>
        <w:rPr>
          <w:rFonts w:ascii="標楷體" w:eastAsia="標楷體" w:hAnsi="標楷體"/>
          <w:sz w:val="28"/>
          <w:szCs w:val="28"/>
        </w:rPr>
      </w:pPr>
      <w:r w:rsidRPr="00FF7BD4">
        <w:rPr>
          <w:rFonts w:ascii="標楷體" w:eastAsia="標楷體" w:hAnsi="標楷體" w:hint="eastAsia"/>
          <w:sz w:val="28"/>
          <w:szCs w:val="28"/>
        </w:rPr>
        <w:t>年終考核超過八十九分或未滿七十分者，考核之單位主管應敘明具體事由。</w:t>
      </w:r>
    </w:p>
    <w:p w14:paraId="42EE00D5" w14:textId="77777777" w:rsidR="00B75C3B" w:rsidRPr="00FF7BD4" w:rsidRDefault="00B75C3B" w:rsidP="00B75C3B">
      <w:pPr>
        <w:snapToGrid w:val="0"/>
        <w:ind w:leftChars="241" w:left="578"/>
        <w:jc w:val="both"/>
        <w:rPr>
          <w:rFonts w:ascii="標楷體" w:eastAsia="標楷體" w:hAnsi="標楷體"/>
          <w:sz w:val="28"/>
          <w:szCs w:val="28"/>
        </w:rPr>
      </w:pPr>
      <w:r w:rsidRPr="00FF7BD4">
        <w:rPr>
          <w:rFonts w:ascii="標楷體" w:eastAsia="標楷體" w:hAnsi="標楷體" w:hint="eastAsia"/>
          <w:sz w:val="28"/>
          <w:szCs w:val="28"/>
        </w:rPr>
        <w:t>專輔人員非自當年一月三十一日以前起聘，經第一項考核為甲等者，不晉薪點。</w:t>
      </w:r>
    </w:p>
    <w:p w14:paraId="6D176A50" w14:textId="2A3D6FE9" w:rsidR="00366CB4" w:rsidRPr="00FF7BD4" w:rsidRDefault="00B75C3B" w:rsidP="00366CB4">
      <w:pPr>
        <w:snapToGrid w:val="0"/>
        <w:ind w:leftChars="241" w:left="578"/>
        <w:jc w:val="both"/>
        <w:rPr>
          <w:rFonts w:ascii="標楷體" w:eastAsia="標楷體" w:hAnsi="標楷體"/>
          <w:sz w:val="28"/>
          <w:szCs w:val="28"/>
        </w:rPr>
      </w:pPr>
      <w:r w:rsidRPr="00FF7BD4">
        <w:rPr>
          <w:rFonts w:ascii="標楷體" w:eastAsia="標楷體" w:hAnsi="標楷體" w:hint="eastAsia"/>
          <w:sz w:val="28"/>
          <w:szCs w:val="28"/>
        </w:rPr>
        <w:t>專輔人員就年終考核結果如有不服時，得依公務人員保障法提起救濟。</w:t>
      </w:r>
    </w:p>
    <w:p w14:paraId="64A9A554" w14:textId="77777777" w:rsidR="00E576F8" w:rsidRPr="00FF7BD4" w:rsidRDefault="00F878BC" w:rsidP="00E576F8">
      <w:pPr>
        <w:snapToGrid w:val="0"/>
        <w:ind w:leftChars="18" w:left="600" w:hangingChars="199" w:hanging="557"/>
        <w:rPr>
          <w:rFonts w:ascii="標楷體" w:eastAsia="標楷體" w:hAnsi="標楷體"/>
          <w:sz w:val="28"/>
          <w:szCs w:val="28"/>
        </w:rPr>
      </w:pPr>
      <w:r w:rsidRPr="00FF7BD4">
        <w:rPr>
          <w:rFonts w:ascii="標楷體" w:eastAsia="標楷體" w:hAnsi="標楷體" w:hint="eastAsia"/>
          <w:sz w:val="28"/>
          <w:szCs w:val="28"/>
        </w:rPr>
        <w:t>八</w:t>
      </w:r>
      <w:r w:rsidR="001848A6" w:rsidRPr="00FF7BD4">
        <w:rPr>
          <w:rFonts w:ascii="標楷體" w:eastAsia="標楷體" w:hAnsi="標楷體" w:hint="eastAsia"/>
          <w:sz w:val="28"/>
          <w:szCs w:val="28"/>
        </w:rPr>
        <w:t>、專輔人員在考核年度內，有下列情事之一，不得考列甲等：</w:t>
      </w:r>
      <w:r w:rsidR="001848A6" w:rsidRPr="00FF7BD4">
        <w:rPr>
          <w:rFonts w:ascii="標楷體" w:eastAsia="標楷體" w:hAnsi="標楷體" w:hint="eastAsia"/>
          <w:sz w:val="28"/>
          <w:szCs w:val="28"/>
        </w:rPr>
        <w:br/>
        <w:t>(一)曾受刑事處分者。</w:t>
      </w:r>
      <w:r w:rsidR="001848A6" w:rsidRPr="00FF7BD4">
        <w:rPr>
          <w:rFonts w:ascii="標楷體" w:eastAsia="標楷體" w:hAnsi="標楷體" w:hint="eastAsia"/>
          <w:sz w:val="28"/>
          <w:szCs w:val="28"/>
        </w:rPr>
        <w:br/>
        <w:t>(二)平時考核獎懲抵銷後，累積達記過以上處分者。</w:t>
      </w:r>
      <w:r w:rsidR="001848A6" w:rsidRPr="00FF7BD4">
        <w:rPr>
          <w:rFonts w:ascii="標楷體" w:eastAsia="標楷體" w:hAnsi="標楷體" w:hint="eastAsia"/>
          <w:sz w:val="28"/>
          <w:szCs w:val="28"/>
        </w:rPr>
        <w:br/>
        <w:t>(三)平時考核項目被評定為C級，經面談及輔導仍未見改善者。</w:t>
      </w:r>
      <w:r w:rsidR="001848A6" w:rsidRPr="00FF7BD4">
        <w:rPr>
          <w:rFonts w:ascii="標楷體" w:eastAsia="標楷體" w:hAnsi="標楷體" w:hint="eastAsia"/>
          <w:sz w:val="28"/>
          <w:szCs w:val="28"/>
        </w:rPr>
        <w:br/>
        <w:t>(四)曠職一日或累積達二日者。</w:t>
      </w:r>
      <w:r w:rsidR="001848A6" w:rsidRPr="00FF7BD4">
        <w:rPr>
          <w:rFonts w:ascii="標楷體" w:eastAsia="標楷體" w:hAnsi="標楷體" w:hint="eastAsia"/>
          <w:sz w:val="28"/>
          <w:szCs w:val="28"/>
        </w:rPr>
        <w:br/>
        <w:t>(五)事、病假合計超過十四日者。</w:t>
      </w:r>
    </w:p>
    <w:p w14:paraId="4C1C9023" w14:textId="13A1A25A" w:rsidR="001848A6" w:rsidRPr="00FF7BD4" w:rsidRDefault="001848A6" w:rsidP="00E576F8">
      <w:pPr>
        <w:snapToGrid w:val="0"/>
        <w:ind w:leftChars="257" w:left="1174" w:hangingChars="199" w:hanging="557"/>
        <w:rPr>
          <w:rFonts w:ascii="標楷體" w:eastAsia="標楷體" w:hAnsi="標楷體"/>
          <w:sz w:val="28"/>
          <w:szCs w:val="28"/>
        </w:rPr>
      </w:pPr>
      <w:r w:rsidRPr="00FF7BD4">
        <w:rPr>
          <w:rFonts w:ascii="標楷體" w:eastAsia="標楷體" w:hAnsi="標楷體" w:hint="eastAsia"/>
          <w:sz w:val="28"/>
          <w:szCs w:val="28"/>
        </w:rPr>
        <w:t>(六)辦理</w:t>
      </w:r>
      <w:r w:rsidR="00B75C3B" w:rsidRPr="00FF7BD4">
        <w:rPr>
          <w:rFonts w:ascii="標楷體" w:eastAsia="標楷體" w:hAnsi="標楷體" w:hint="eastAsia"/>
          <w:sz w:val="28"/>
          <w:szCs w:val="28"/>
        </w:rPr>
        <w:t>專業輔導</w:t>
      </w:r>
      <w:r w:rsidRPr="00FF7BD4">
        <w:rPr>
          <w:rFonts w:ascii="標楷體" w:eastAsia="標楷體" w:hAnsi="標楷體" w:hint="eastAsia"/>
          <w:sz w:val="28"/>
          <w:szCs w:val="28"/>
        </w:rPr>
        <w:t>業務，態度惡劣，影響本府聲譽，有具體事實。</w:t>
      </w:r>
    </w:p>
    <w:p w14:paraId="7C456883" w14:textId="54F49BB3" w:rsidR="00DD6F70" w:rsidRPr="00FF7BD4" w:rsidRDefault="00391EF4" w:rsidP="00DD6F70">
      <w:pPr>
        <w:snapToGrid w:val="0"/>
        <w:ind w:leftChars="256" w:left="614" w:firstLineChars="5" w:firstLine="14"/>
        <w:rPr>
          <w:rFonts w:ascii="標楷體" w:eastAsia="標楷體" w:hAnsi="標楷體"/>
          <w:sz w:val="28"/>
          <w:szCs w:val="28"/>
        </w:rPr>
      </w:pPr>
      <w:r w:rsidRPr="00FF7BD4">
        <w:rPr>
          <w:rFonts w:ascii="標楷體" w:eastAsia="標楷體" w:hAnsi="標楷體" w:hint="eastAsia"/>
          <w:sz w:val="28"/>
          <w:szCs w:val="28"/>
        </w:rPr>
        <w:t>前項第五款有關事、病假合計日數，應扣除請家庭照顧假、生理假及因安胎事由所請之事、病假（含延長病假）之日數。</w:t>
      </w:r>
    </w:p>
    <w:p w14:paraId="349DCEFD" w14:textId="137B4CFE" w:rsidR="00DD6F70" w:rsidRPr="00FF7BD4" w:rsidRDefault="00F878BC" w:rsidP="00DD6F70">
      <w:pPr>
        <w:snapToGrid w:val="0"/>
        <w:ind w:leftChars="18" w:left="614" w:hangingChars="204" w:hanging="571"/>
        <w:rPr>
          <w:rFonts w:ascii="標楷體" w:eastAsia="標楷體" w:hAnsi="標楷體"/>
          <w:sz w:val="28"/>
          <w:szCs w:val="28"/>
        </w:rPr>
      </w:pPr>
      <w:r w:rsidRPr="00FF7BD4">
        <w:rPr>
          <w:rFonts w:ascii="標楷體" w:eastAsia="標楷體" w:hAnsi="標楷體" w:hint="eastAsia"/>
          <w:sz w:val="28"/>
          <w:szCs w:val="28"/>
        </w:rPr>
        <w:t>九、</w:t>
      </w:r>
      <w:bookmarkStart w:id="1" w:name="_Hlk175156801"/>
      <w:r w:rsidR="00DD6F70" w:rsidRPr="00FF7BD4">
        <w:rPr>
          <w:rFonts w:ascii="標楷體" w:eastAsia="標楷體" w:hAnsi="標楷體" w:hint="eastAsia"/>
          <w:spacing w:val="6"/>
          <w:sz w:val="28"/>
          <w:szCs w:val="28"/>
        </w:rPr>
        <w:t>輔諮中心辦理專輔</w:t>
      </w:r>
      <w:r w:rsidR="00DD6F70" w:rsidRPr="00FF7BD4">
        <w:rPr>
          <w:rFonts w:ascii="標楷體" w:eastAsia="標楷體" w:hAnsi="標楷體" w:hint="eastAsia"/>
          <w:spacing w:val="20"/>
          <w:sz w:val="28"/>
          <w:szCs w:val="28"/>
        </w:rPr>
        <w:t>人員公開甄選、年</w:t>
      </w:r>
      <w:r w:rsidR="00DD6F70" w:rsidRPr="00FF7BD4">
        <w:rPr>
          <w:rFonts w:ascii="標楷體" w:eastAsia="標楷體" w:hAnsi="標楷體" w:hint="eastAsia"/>
          <w:spacing w:val="6"/>
          <w:sz w:val="28"/>
          <w:szCs w:val="28"/>
        </w:rPr>
        <w:t>終考核、相關年資或工作經驗</w:t>
      </w:r>
      <w:r w:rsidR="00DD6F70" w:rsidRPr="00FF7BD4">
        <w:rPr>
          <w:rFonts w:ascii="標楷體" w:eastAsia="標楷體" w:hAnsi="標楷體" w:hint="eastAsia"/>
          <w:spacing w:val="6"/>
          <w:sz w:val="28"/>
          <w:szCs w:val="28"/>
        </w:rPr>
        <w:lastRenderedPageBreak/>
        <w:t>採計後薪</w:t>
      </w:r>
      <w:r w:rsidR="00DD6F70" w:rsidRPr="00FF7BD4">
        <w:rPr>
          <w:rFonts w:ascii="標楷體" w:eastAsia="標楷體" w:hAnsi="標楷體" w:hint="eastAsia"/>
          <w:spacing w:val="16"/>
          <w:sz w:val="28"/>
          <w:szCs w:val="28"/>
        </w:rPr>
        <w:t>點起支、晉薪等項目</w:t>
      </w:r>
      <w:r w:rsidR="00DD6F70" w:rsidRPr="00FF7BD4">
        <w:rPr>
          <w:rFonts w:ascii="標楷體" w:eastAsia="標楷體" w:hAnsi="標楷體" w:hint="eastAsia"/>
          <w:spacing w:val="6"/>
          <w:sz w:val="28"/>
          <w:szCs w:val="28"/>
        </w:rPr>
        <w:t>，應組成審議小</w:t>
      </w:r>
      <w:r w:rsidR="00DD6F70" w:rsidRPr="00FF7BD4">
        <w:rPr>
          <w:rFonts w:ascii="標楷體" w:eastAsia="標楷體" w:hAnsi="標楷體" w:hint="eastAsia"/>
          <w:spacing w:val="20"/>
          <w:sz w:val="28"/>
          <w:szCs w:val="28"/>
        </w:rPr>
        <w:t>組進行審議。</w:t>
      </w:r>
    </w:p>
    <w:p w14:paraId="1AB88A49" w14:textId="251A89CB" w:rsidR="00DD6F70" w:rsidRPr="00FF7BD4" w:rsidRDefault="00DD6F70" w:rsidP="00DD6F70">
      <w:pPr>
        <w:snapToGrid w:val="0"/>
        <w:ind w:leftChars="250" w:left="600"/>
        <w:rPr>
          <w:rFonts w:ascii="標楷體" w:eastAsia="標楷體" w:hAnsi="標楷體"/>
          <w:sz w:val="28"/>
          <w:szCs w:val="28"/>
        </w:rPr>
      </w:pPr>
      <w:r w:rsidRPr="00FF7BD4">
        <w:rPr>
          <w:rFonts w:ascii="標楷體" w:eastAsia="標楷體" w:hAnsi="標楷體" w:hint="eastAsia"/>
          <w:sz w:val="28"/>
          <w:szCs w:val="28"/>
        </w:rPr>
        <w:t>前項審議小組組成</w:t>
      </w:r>
      <w:r w:rsidRPr="00FF7BD4">
        <w:rPr>
          <w:rFonts w:ascii="標楷體" w:eastAsia="標楷體" w:hAnsi="標楷體" w:hint="eastAsia"/>
          <w:spacing w:val="10"/>
          <w:sz w:val="28"/>
          <w:szCs w:val="28"/>
        </w:rPr>
        <w:t>應置委員至少三人</w:t>
      </w:r>
      <w:r w:rsidRPr="00FF7BD4">
        <w:rPr>
          <w:rFonts w:ascii="標楷體" w:eastAsia="標楷體" w:hAnsi="標楷體" w:hint="eastAsia"/>
          <w:spacing w:val="16"/>
          <w:sz w:val="28"/>
          <w:szCs w:val="28"/>
        </w:rPr>
        <w:t>，組成時委員任一</w:t>
      </w:r>
      <w:r w:rsidRPr="00FF7BD4">
        <w:rPr>
          <w:rFonts w:ascii="標楷體" w:eastAsia="標楷體" w:hAnsi="標楷體" w:hint="eastAsia"/>
          <w:sz w:val="28"/>
          <w:szCs w:val="28"/>
        </w:rPr>
        <w:t>性別比例不得低於</w:t>
      </w:r>
      <w:r w:rsidRPr="00FF7BD4">
        <w:rPr>
          <w:rFonts w:ascii="標楷體" w:eastAsia="標楷體" w:hAnsi="標楷體" w:hint="eastAsia"/>
          <w:spacing w:val="20"/>
          <w:sz w:val="28"/>
          <w:szCs w:val="28"/>
        </w:rPr>
        <w:t>三分之一。</w:t>
      </w:r>
      <w:bookmarkEnd w:id="1"/>
    </w:p>
    <w:sectPr w:rsidR="00DD6F70" w:rsidRPr="00FF7BD4" w:rsidSect="006E7361">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5A69D" w14:textId="77777777" w:rsidR="00582C6F" w:rsidRDefault="00582C6F" w:rsidP="00EF4DD2">
      <w:r>
        <w:separator/>
      </w:r>
    </w:p>
  </w:endnote>
  <w:endnote w:type="continuationSeparator" w:id="0">
    <w:p w14:paraId="2589A451" w14:textId="77777777" w:rsidR="00582C6F" w:rsidRDefault="00582C6F" w:rsidP="00E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CB55" w14:textId="77777777" w:rsidR="00582C6F" w:rsidRDefault="00582C6F" w:rsidP="00EF4DD2">
      <w:r>
        <w:separator/>
      </w:r>
    </w:p>
  </w:footnote>
  <w:footnote w:type="continuationSeparator" w:id="0">
    <w:p w14:paraId="1884721F" w14:textId="77777777" w:rsidR="00582C6F" w:rsidRDefault="00582C6F" w:rsidP="00EF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1A2"/>
    <w:multiLevelType w:val="hybridMultilevel"/>
    <w:tmpl w:val="F614241C"/>
    <w:lvl w:ilvl="0" w:tplc="CD6E6E32">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36D64"/>
    <w:multiLevelType w:val="hybridMultilevel"/>
    <w:tmpl w:val="AE6CEB6A"/>
    <w:lvl w:ilvl="0" w:tplc="BB900C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846FB"/>
    <w:multiLevelType w:val="hybridMultilevel"/>
    <w:tmpl w:val="B38EC098"/>
    <w:lvl w:ilvl="0" w:tplc="5E80DB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B7528"/>
    <w:multiLevelType w:val="hybridMultilevel"/>
    <w:tmpl w:val="9BC8D65E"/>
    <w:lvl w:ilvl="0" w:tplc="6BE0DE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F53E57"/>
    <w:multiLevelType w:val="hybridMultilevel"/>
    <w:tmpl w:val="2E6AE9E6"/>
    <w:lvl w:ilvl="0" w:tplc="284A09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BD3266"/>
    <w:multiLevelType w:val="hybridMultilevel"/>
    <w:tmpl w:val="749A999A"/>
    <w:lvl w:ilvl="0" w:tplc="997A43B6">
      <w:start w:val="1"/>
      <w:numFmt w:val="taiwaneseCountingThousand"/>
      <w:lvlText w:val="%1、"/>
      <w:lvlJc w:val="left"/>
      <w:pPr>
        <w:ind w:left="662" w:hanging="720"/>
      </w:pPr>
      <w:rPr>
        <w:rFonts w:hint="default"/>
      </w:rPr>
    </w:lvl>
    <w:lvl w:ilvl="1" w:tplc="52E4613E">
      <w:start w:val="1"/>
      <w:numFmt w:val="decimal"/>
      <w:lvlText w:val="%2、"/>
      <w:lvlJc w:val="left"/>
      <w:pPr>
        <w:ind w:left="1142" w:hanging="720"/>
      </w:pPr>
      <w:rPr>
        <w:rFonts w:hint="default"/>
      </w:r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6" w15:restartNumberingAfterBreak="0">
    <w:nsid w:val="44CE496C"/>
    <w:multiLevelType w:val="hybridMultilevel"/>
    <w:tmpl w:val="7D802AA6"/>
    <w:lvl w:ilvl="0" w:tplc="6002A5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423E24"/>
    <w:multiLevelType w:val="hybridMultilevel"/>
    <w:tmpl w:val="DD4E7D0E"/>
    <w:lvl w:ilvl="0" w:tplc="212630BC">
      <w:start w:val="1"/>
      <w:numFmt w:val="taiwaneseCountingThousand"/>
      <w:lvlText w:val="%1、"/>
      <w:lvlJc w:val="left"/>
      <w:pPr>
        <w:ind w:left="720" w:hanging="720"/>
      </w:pPr>
      <w:rPr>
        <w:rFonts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55333FCA"/>
    <w:multiLevelType w:val="hybridMultilevel"/>
    <w:tmpl w:val="3ACC1F90"/>
    <w:lvl w:ilvl="0" w:tplc="083AD8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053CAD"/>
    <w:multiLevelType w:val="hybridMultilevel"/>
    <w:tmpl w:val="530ED5B2"/>
    <w:lvl w:ilvl="0" w:tplc="E1DC74E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E4102"/>
    <w:multiLevelType w:val="hybridMultilevel"/>
    <w:tmpl w:val="61D0E19A"/>
    <w:lvl w:ilvl="0" w:tplc="15E2FF76">
      <w:start w:val="3"/>
      <w:numFmt w:val="taiwaneseCountingThousand"/>
      <w:lvlText w:val="%1、"/>
      <w:lvlJc w:val="left"/>
      <w:pPr>
        <w:ind w:left="720" w:hanging="720"/>
      </w:pPr>
      <w:rPr>
        <w:rFonts w:hint="default"/>
      </w:rPr>
    </w:lvl>
    <w:lvl w:ilvl="1" w:tplc="A00C97CC">
      <w:start w:val="1"/>
      <w:numFmt w:val="decimal"/>
      <w:lvlText w:val="%2、"/>
      <w:lvlJc w:val="left"/>
      <w:pPr>
        <w:ind w:left="1200" w:hanging="720"/>
      </w:pPr>
      <w:rPr>
        <w:rFonts w:hint="default"/>
      </w:rPr>
    </w:lvl>
    <w:lvl w:ilvl="2" w:tplc="CD6E6E32">
      <w:start w:val="1"/>
      <w:numFmt w:val="taiwaneseCountingThousand"/>
      <w:lvlText w:val="(%3)"/>
      <w:lvlJc w:val="left"/>
      <w:pPr>
        <w:ind w:left="2421"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CC789E"/>
    <w:multiLevelType w:val="hybridMultilevel"/>
    <w:tmpl w:val="D946D9C8"/>
    <w:lvl w:ilvl="0" w:tplc="C8782B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11"/>
  </w:num>
  <w:num w:numId="4">
    <w:abstractNumId w:val="1"/>
  </w:num>
  <w:num w:numId="5">
    <w:abstractNumId w:val="3"/>
  </w:num>
  <w:num w:numId="6">
    <w:abstractNumId w:val="10"/>
  </w:num>
  <w:num w:numId="7">
    <w:abstractNumId w:val="5"/>
  </w:num>
  <w:num w:numId="8">
    <w:abstractNumId w:val="6"/>
  </w:num>
  <w:num w:numId="9">
    <w:abstractNumId w:val="4"/>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45"/>
    <w:rsid w:val="00003681"/>
    <w:rsid w:val="00003D56"/>
    <w:rsid w:val="0001224E"/>
    <w:rsid w:val="00021D45"/>
    <w:rsid w:val="00036779"/>
    <w:rsid w:val="000540E8"/>
    <w:rsid w:val="000573E5"/>
    <w:rsid w:val="000741CD"/>
    <w:rsid w:val="00074264"/>
    <w:rsid w:val="00075F8B"/>
    <w:rsid w:val="000B7A1A"/>
    <w:rsid w:val="000C1B07"/>
    <w:rsid w:val="000C7FC1"/>
    <w:rsid w:val="000D14C3"/>
    <w:rsid w:val="000D581A"/>
    <w:rsid w:val="000E0910"/>
    <w:rsid w:val="00102047"/>
    <w:rsid w:val="00124925"/>
    <w:rsid w:val="001249E5"/>
    <w:rsid w:val="0014090B"/>
    <w:rsid w:val="0014170E"/>
    <w:rsid w:val="001848A6"/>
    <w:rsid w:val="00187869"/>
    <w:rsid w:val="0019393C"/>
    <w:rsid w:val="001965DA"/>
    <w:rsid w:val="001C378A"/>
    <w:rsid w:val="0020089E"/>
    <w:rsid w:val="00201FED"/>
    <w:rsid w:val="00223202"/>
    <w:rsid w:val="002335BB"/>
    <w:rsid w:val="0025201A"/>
    <w:rsid w:val="00255416"/>
    <w:rsid w:val="0026428E"/>
    <w:rsid w:val="00277D35"/>
    <w:rsid w:val="00293C01"/>
    <w:rsid w:val="002A08DD"/>
    <w:rsid w:val="002A540B"/>
    <w:rsid w:val="002D4541"/>
    <w:rsid w:val="00310F50"/>
    <w:rsid w:val="00323CF6"/>
    <w:rsid w:val="00336E20"/>
    <w:rsid w:val="00355C34"/>
    <w:rsid w:val="00366CB4"/>
    <w:rsid w:val="0037713E"/>
    <w:rsid w:val="00377B18"/>
    <w:rsid w:val="0038126B"/>
    <w:rsid w:val="00391EF4"/>
    <w:rsid w:val="003B6227"/>
    <w:rsid w:val="003B65AA"/>
    <w:rsid w:val="003C1720"/>
    <w:rsid w:val="003E45EB"/>
    <w:rsid w:val="003F4348"/>
    <w:rsid w:val="0041592A"/>
    <w:rsid w:val="00422E2E"/>
    <w:rsid w:val="004311CB"/>
    <w:rsid w:val="00447665"/>
    <w:rsid w:val="004751CA"/>
    <w:rsid w:val="00475E09"/>
    <w:rsid w:val="004D233D"/>
    <w:rsid w:val="004E4F91"/>
    <w:rsid w:val="004F0D85"/>
    <w:rsid w:val="00523CF4"/>
    <w:rsid w:val="00536D5D"/>
    <w:rsid w:val="00582C6F"/>
    <w:rsid w:val="005A3B45"/>
    <w:rsid w:val="005D262A"/>
    <w:rsid w:val="005F277D"/>
    <w:rsid w:val="005F2D2E"/>
    <w:rsid w:val="006019CB"/>
    <w:rsid w:val="006047AE"/>
    <w:rsid w:val="0063046B"/>
    <w:rsid w:val="006451DD"/>
    <w:rsid w:val="00653BF1"/>
    <w:rsid w:val="00674822"/>
    <w:rsid w:val="00675375"/>
    <w:rsid w:val="006835BC"/>
    <w:rsid w:val="006909D4"/>
    <w:rsid w:val="006A472D"/>
    <w:rsid w:val="006A610B"/>
    <w:rsid w:val="006B5385"/>
    <w:rsid w:val="006D1911"/>
    <w:rsid w:val="006E7361"/>
    <w:rsid w:val="0070383E"/>
    <w:rsid w:val="00740CA7"/>
    <w:rsid w:val="00745F76"/>
    <w:rsid w:val="007510DB"/>
    <w:rsid w:val="007B08E9"/>
    <w:rsid w:val="007E2F2E"/>
    <w:rsid w:val="007F69C3"/>
    <w:rsid w:val="008129AF"/>
    <w:rsid w:val="00815BB2"/>
    <w:rsid w:val="00830E78"/>
    <w:rsid w:val="008405A3"/>
    <w:rsid w:val="00840BB7"/>
    <w:rsid w:val="00842CE6"/>
    <w:rsid w:val="00856A86"/>
    <w:rsid w:val="00866280"/>
    <w:rsid w:val="00872DCF"/>
    <w:rsid w:val="0087465C"/>
    <w:rsid w:val="00874A59"/>
    <w:rsid w:val="008A3BA1"/>
    <w:rsid w:val="008B1747"/>
    <w:rsid w:val="008D7D8C"/>
    <w:rsid w:val="008E5FC2"/>
    <w:rsid w:val="00932D00"/>
    <w:rsid w:val="00944662"/>
    <w:rsid w:val="00946A3B"/>
    <w:rsid w:val="009673FA"/>
    <w:rsid w:val="00971D76"/>
    <w:rsid w:val="00973E5D"/>
    <w:rsid w:val="00982A23"/>
    <w:rsid w:val="009A2F93"/>
    <w:rsid w:val="009B2020"/>
    <w:rsid w:val="009C59D3"/>
    <w:rsid w:val="009E4549"/>
    <w:rsid w:val="00A063E5"/>
    <w:rsid w:val="00A0721B"/>
    <w:rsid w:val="00A1360B"/>
    <w:rsid w:val="00A13D80"/>
    <w:rsid w:val="00A248CE"/>
    <w:rsid w:val="00A46019"/>
    <w:rsid w:val="00A667A3"/>
    <w:rsid w:val="00A74FC6"/>
    <w:rsid w:val="00AB1227"/>
    <w:rsid w:val="00AC0704"/>
    <w:rsid w:val="00AD3D8E"/>
    <w:rsid w:val="00AE3D03"/>
    <w:rsid w:val="00AF20A9"/>
    <w:rsid w:val="00B0372F"/>
    <w:rsid w:val="00B146ED"/>
    <w:rsid w:val="00B21E75"/>
    <w:rsid w:val="00B35A03"/>
    <w:rsid w:val="00B41D6D"/>
    <w:rsid w:val="00B51B78"/>
    <w:rsid w:val="00B752A4"/>
    <w:rsid w:val="00B75C3B"/>
    <w:rsid w:val="00BA2B19"/>
    <w:rsid w:val="00BC76CD"/>
    <w:rsid w:val="00BD1A00"/>
    <w:rsid w:val="00BD3A27"/>
    <w:rsid w:val="00BE415B"/>
    <w:rsid w:val="00BE76CE"/>
    <w:rsid w:val="00C077F4"/>
    <w:rsid w:val="00C23878"/>
    <w:rsid w:val="00C27010"/>
    <w:rsid w:val="00C5198E"/>
    <w:rsid w:val="00C82DFE"/>
    <w:rsid w:val="00CA0CA8"/>
    <w:rsid w:val="00CB6AAF"/>
    <w:rsid w:val="00CF4794"/>
    <w:rsid w:val="00D01A23"/>
    <w:rsid w:val="00D22BA8"/>
    <w:rsid w:val="00D34D11"/>
    <w:rsid w:val="00D43983"/>
    <w:rsid w:val="00D706C6"/>
    <w:rsid w:val="00D73A33"/>
    <w:rsid w:val="00D74A4D"/>
    <w:rsid w:val="00DC230B"/>
    <w:rsid w:val="00DD6F70"/>
    <w:rsid w:val="00DD71E2"/>
    <w:rsid w:val="00DE3038"/>
    <w:rsid w:val="00DE7AE4"/>
    <w:rsid w:val="00DF4A08"/>
    <w:rsid w:val="00E00E23"/>
    <w:rsid w:val="00E15E5B"/>
    <w:rsid w:val="00E16B58"/>
    <w:rsid w:val="00E22032"/>
    <w:rsid w:val="00E46727"/>
    <w:rsid w:val="00E46FAF"/>
    <w:rsid w:val="00E576F8"/>
    <w:rsid w:val="00E60453"/>
    <w:rsid w:val="00E67EDE"/>
    <w:rsid w:val="00E904AB"/>
    <w:rsid w:val="00EB4B29"/>
    <w:rsid w:val="00EB534E"/>
    <w:rsid w:val="00ED7A91"/>
    <w:rsid w:val="00EE026A"/>
    <w:rsid w:val="00EE4D7D"/>
    <w:rsid w:val="00EF435C"/>
    <w:rsid w:val="00EF4DD2"/>
    <w:rsid w:val="00EF66AE"/>
    <w:rsid w:val="00EF74F9"/>
    <w:rsid w:val="00F00B6E"/>
    <w:rsid w:val="00F32DE8"/>
    <w:rsid w:val="00F53426"/>
    <w:rsid w:val="00F630A2"/>
    <w:rsid w:val="00F85A1D"/>
    <w:rsid w:val="00F878BC"/>
    <w:rsid w:val="00FC406C"/>
    <w:rsid w:val="00FD051E"/>
    <w:rsid w:val="00FF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1673"/>
  <w15:docId w15:val="{17EBD28B-17B4-4347-8A52-77F304AB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DD2"/>
    <w:pPr>
      <w:tabs>
        <w:tab w:val="center" w:pos="4153"/>
        <w:tab w:val="right" w:pos="8306"/>
      </w:tabs>
      <w:snapToGrid w:val="0"/>
    </w:pPr>
    <w:rPr>
      <w:sz w:val="20"/>
      <w:szCs w:val="20"/>
    </w:rPr>
  </w:style>
  <w:style w:type="character" w:customStyle="1" w:styleId="a4">
    <w:name w:val="頁首 字元"/>
    <w:basedOn w:val="a0"/>
    <w:link w:val="a3"/>
    <w:uiPriority w:val="99"/>
    <w:rsid w:val="00EF4DD2"/>
    <w:rPr>
      <w:sz w:val="20"/>
      <w:szCs w:val="20"/>
    </w:rPr>
  </w:style>
  <w:style w:type="paragraph" w:styleId="a5">
    <w:name w:val="footer"/>
    <w:basedOn w:val="a"/>
    <w:link w:val="a6"/>
    <w:uiPriority w:val="99"/>
    <w:unhideWhenUsed/>
    <w:rsid w:val="00EF4DD2"/>
    <w:pPr>
      <w:tabs>
        <w:tab w:val="center" w:pos="4153"/>
        <w:tab w:val="right" w:pos="8306"/>
      </w:tabs>
      <w:snapToGrid w:val="0"/>
    </w:pPr>
    <w:rPr>
      <w:sz w:val="20"/>
      <w:szCs w:val="20"/>
    </w:rPr>
  </w:style>
  <w:style w:type="character" w:customStyle="1" w:styleId="a6">
    <w:name w:val="頁尾 字元"/>
    <w:basedOn w:val="a0"/>
    <w:link w:val="a5"/>
    <w:uiPriority w:val="99"/>
    <w:rsid w:val="00EF4DD2"/>
    <w:rPr>
      <w:sz w:val="20"/>
      <w:szCs w:val="20"/>
    </w:rPr>
  </w:style>
  <w:style w:type="paragraph" w:styleId="a7">
    <w:name w:val="List Paragraph"/>
    <w:basedOn w:val="a"/>
    <w:uiPriority w:val="34"/>
    <w:qFormat/>
    <w:rsid w:val="00675375"/>
    <w:pPr>
      <w:ind w:leftChars="200" w:left="480"/>
    </w:pPr>
  </w:style>
  <w:style w:type="paragraph" w:styleId="a8">
    <w:name w:val="Balloon Text"/>
    <w:basedOn w:val="a"/>
    <w:link w:val="a9"/>
    <w:uiPriority w:val="99"/>
    <w:semiHidden/>
    <w:unhideWhenUsed/>
    <w:rsid w:val="002554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5416"/>
    <w:rPr>
      <w:rFonts w:asciiTheme="majorHAnsi" w:eastAsiaTheme="majorEastAsia" w:hAnsiTheme="majorHAnsi" w:cstheme="majorBidi"/>
      <w:sz w:val="18"/>
      <w:szCs w:val="18"/>
    </w:rPr>
  </w:style>
  <w:style w:type="paragraph" w:customStyle="1" w:styleId="Default">
    <w:name w:val="Default"/>
    <w:rsid w:val="00A667A3"/>
    <w:pPr>
      <w:widowControl w:val="0"/>
      <w:autoSpaceDE w:val="0"/>
      <w:autoSpaceDN w:val="0"/>
      <w:adjustRightInd w:val="0"/>
    </w:pPr>
    <w:rPr>
      <w:rFonts w:ascii="細明體" w:eastAsia="細明體" w:cs="細明體"/>
      <w:color w:val="000000"/>
      <w:kern w:val="0"/>
      <w:szCs w:val="24"/>
    </w:rPr>
  </w:style>
  <w:style w:type="character" w:styleId="aa">
    <w:name w:val="Hyperlink"/>
    <w:basedOn w:val="a0"/>
    <w:uiPriority w:val="99"/>
    <w:semiHidden/>
    <w:unhideWhenUsed/>
    <w:rsid w:val="00391EF4"/>
    <w:rPr>
      <w:color w:val="0000FF"/>
      <w:u w:val="single"/>
    </w:rPr>
  </w:style>
  <w:style w:type="paragraph" w:styleId="ab">
    <w:name w:val="No Spacing"/>
    <w:uiPriority w:val="1"/>
    <w:qFormat/>
    <w:rsid w:val="00B75C3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王馨羚</dc:creator>
  <cp:lastModifiedBy>user</cp:lastModifiedBy>
  <cp:revision>2</cp:revision>
  <cp:lastPrinted>2024-10-30T08:45:00Z</cp:lastPrinted>
  <dcterms:created xsi:type="dcterms:W3CDTF">2024-11-11T07:18:00Z</dcterms:created>
  <dcterms:modified xsi:type="dcterms:W3CDTF">2024-11-11T07:18:00Z</dcterms:modified>
</cp:coreProperties>
</file>