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44" w:rsidRDefault="00A25844" w:rsidP="00A258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3253"/>
      </w:tblGrid>
      <w:tr w:rsidR="003D6E52" w:rsidTr="00754571">
        <w:trPr>
          <w:trHeight w:val="410"/>
        </w:trPr>
        <w:tc>
          <w:tcPr>
            <w:tcW w:w="8952" w:type="dxa"/>
            <w:gridSpan w:val="2"/>
            <w:shd w:val="clear" w:color="auto" w:fill="auto"/>
            <w:vAlign w:val="center"/>
          </w:tcPr>
          <w:p w:rsidR="003D6E52" w:rsidRPr="006856DD" w:rsidRDefault="00670B2A" w:rsidP="009563BE">
            <w:pPr>
              <w:jc w:val="center"/>
              <w:rPr>
                <w:sz w:val="36"/>
                <w:szCs w:val="36"/>
              </w:rPr>
            </w:pPr>
            <w:r w:rsidRPr="00670B2A">
              <w:rPr>
                <w:rFonts w:ascii="標楷體" w:eastAsia="標楷體" w:hAnsi="標楷體" w:hint="eastAsia"/>
                <w:sz w:val="36"/>
                <w:szCs w:val="36"/>
              </w:rPr>
              <w:t>桃園市</w:t>
            </w:r>
            <w:r w:rsidR="00C229E0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C462FB">
              <w:rPr>
                <w:rFonts w:ascii="標楷體" w:eastAsia="標楷體" w:hAnsi="標楷體" w:hint="eastAsia"/>
                <w:sz w:val="36"/>
                <w:szCs w:val="36"/>
              </w:rPr>
              <w:t>立國民</w:t>
            </w:r>
            <w:r w:rsidR="00C462FB">
              <w:rPr>
                <w:rFonts w:ascii="標楷體" w:eastAsia="標楷體" w:hAnsi="標楷體"/>
                <w:sz w:val="36"/>
                <w:szCs w:val="36"/>
              </w:rPr>
              <w:t>小</w:t>
            </w:r>
            <w:r w:rsidR="00FD090C">
              <w:rPr>
                <w:rFonts w:ascii="標楷體" w:eastAsia="標楷體" w:hAnsi="標楷體" w:hint="eastAsia"/>
                <w:sz w:val="36"/>
                <w:szCs w:val="36"/>
              </w:rPr>
              <w:t>學及國民</w:t>
            </w:r>
            <w:r w:rsidR="00C462FB">
              <w:rPr>
                <w:rFonts w:ascii="標楷體" w:eastAsia="標楷體" w:hAnsi="標楷體"/>
                <w:sz w:val="36"/>
                <w:szCs w:val="36"/>
              </w:rPr>
              <w:t>中</w:t>
            </w:r>
            <w:r w:rsidR="00FD090C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DC2BF0">
              <w:rPr>
                <w:rFonts w:ascii="標楷體" w:eastAsia="標楷體" w:hAnsi="標楷體" w:hint="eastAsia"/>
                <w:sz w:val="36"/>
                <w:szCs w:val="36"/>
              </w:rPr>
              <w:t>合併或</w:t>
            </w:r>
            <w:r w:rsidRPr="00670B2A">
              <w:rPr>
                <w:rFonts w:ascii="標楷體" w:eastAsia="標楷體" w:hAnsi="標楷體" w:hint="eastAsia"/>
                <w:sz w:val="36"/>
                <w:szCs w:val="36"/>
              </w:rPr>
              <w:t>停辦辦法</w:t>
            </w:r>
            <w:bookmarkStart w:id="0" w:name="_GoBack"/>
            <w:bookmarkEnd w:id="0"/>
          </w:p>
        </w:tc>
      </w:tr>
      <w:tr w:rsidR="009563BE" w:rsidTr="009563BE">
        <w:trPr>
          <w:trHeight w:val="403"/>
        </w:trPr>
        <w:tc>
          <w:tcPr>
            <w:tcW w:w="5699" w:type="dxa"/>
            <w:shd w:val="clear" w:color="auto" w:fill="auto"/>
            <w:vAlign w:val="center"/>
          </w:tcPr>
          <w:p w:rsidR="009563BE" w:rsidRPr="006856DD" w:rsidRDefault="009563BE" w:rsidP="00C462FB">
            <w:pPr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563BE" w:rsidRPr="006856DD" w:rsidRDefault="009563BE" w:rsidP="00C462FB">
            <w:pPr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</w:tr>
      <w:tr w:rsidR="009563BE" w:rsidTr="009563BE">
        <w:trPr>
          <w:trHeight w:val="425"/>
        </w:trPr>
        <w:tc>
          <w:tcPr>
            <w:tcW w:w="5699" w:type="dxa"/>
            <w:shd w:val="clear" w:color="auto" w:fill="auto"/>
          </w:tcPr>
          <w:p w:rsidR="009563BE" w:rsidRPr="00670B2A" w:rsidRDefault="009563BE" w:rsidP="009563B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D2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市立國民小學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國民中學合併或</w:t>
            </w:r>
            <w:r w:rsidRPr="00816D23">
              <w:rPr>
                <w:rFonts w:ascii="標楷體" w:eastAsia="標楷體" w:hAnsi="標楷體" w:hint="eastAsia"/>
                <w:sz w:val="28"/>
                <w:szCs w:val="28"/>
              </w:rPr>
              <w:t>停辦辦法</w:t>
            </w:r>
          </w:p>
        </w:tc>
        <w:tc>
          <w:tcPr>
            <w:tcW w:w="3253" w:type="dxa"/>
            <w:shd w:val="clear" w:color="auto" w:fill="auto"/>
          </w:tcPr>
          <w:p w:rsidR="009563BE" w:rsidRPr="00670B2A" w:rsidRDefault="009563BE" w:rsidP="00C462FB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法規名稱。</w:t>
            </w:r>
          </w:p>
        </w:tc>
      </w:tr>
      <w:tr w:rsidR="009563BE" w:rsidTr="009563BE">
        <w:trPr>
          <w:trHeight w:val="419"/>
        </w:trPr>
        <w:tc>
          <w:tcPr>
            <w:tcW w:w="5699" w:type="dxa"/>
            <w:shd w:val="clear" w:color="auto" w:fill="auto"/>
            <w:vAlign w:val="center"/>
          </w:tcPr>
          <w:p w:rsidR="009563BE" w:rsidRPr="006856DD" w:rsidRDefault="009563BE" w:rsidP="00C462FB">
            <w:pPr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9563BE" w:rsidRPr="006856DD" w:rsidRDefault="009563BE" w:rsidP="00C462FB">
            <w:pPr>
              <w:adjustRightInd w:val="0"/>
              <w:jc w:val="center"/>
              <w:rPr>
                <w:sz w:val="32"/>
                <w:szCs w:val="32"/>
              </w:rPr>
            </w:pP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6856DD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</w:tr>
      <w:tr w:rsidR="009563BE" w:rsidTr="009563BE">
        <w:tc>
          <w:tcPr>
            <w:tcW w:w="5699" w:type="dxa"/>
            <w:shd w:val="clear" w:color="auto" w:fill="auto"/>
          </w:tcPr>
          <w:p w:rsidR="009563BE" w:rsidRPr="006856DD" w:rsidRDefault="009563BE" w:rsidP="00A001F2">
            <w:pPr>
              <w:kinsoku w:val="0"/>
              <w:overflowPunct w:val="0"/>
              <w:autoSpaceDE w:val="0"/>
              <w:autoSpaceDN w:val="0"/>
              <w:adjustRightIn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Pr="006856DD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本辦法依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國民教育法第四條之一第一項與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公立國民小學及國民中學合併或停辦準則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（以下簡稱本準則）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第十條規定訂定之。</w:t>
            </w:r>
          </w:p>
        </w:tc>
        <w:tc>
          <w:tcPr>
            <w:tcW w:w="3253" w:type="dxa"/>
            <w:shd w:val="clear" w:color="auto" w:fill="auto"/>
          </w:tcPr>
          <w:p w:rsidR="009563BE" w:rsidRPr="00E44FC1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本辦法之法源依據。</w:t>
            </w:r>
          </w:p>
        </w:tc>
      </w:tr>
      <w:tr w:rsidR="009563BE" w:rsidTr="009563BE">
        <w:tc>
          <w:tcPr>
            <w:tcW w:w="5699" w:type="dxa"/>
            <w:shd w:val="clear" w:color="auto" w:fill="auto"/>
          </w:tcPr>
          <w:p w:rsidR="009563BE" w:rsidRPr="00987D37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桃園市市立國民小學及國民中學（以下簡稱學校），除原住民重點學校外，</w:t>
            </w: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各學年度全校學生於桃園市政府（以下簡稱本府）教育局核定之班級數基準日計算之學生人數（含幼兒園）低於六十人者，即進入評估期。</w:t>
            </w:r>
          </w:p>
          <w:p w:rsidR="009563BE" w:rsidRPr="00987D37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Chars="100" w:left="240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評估期為一年，學校應召開地方說明會，並於期滿前向本府提出發展評估報告。</w:t>
            </w:r>
          </w:p>
          <w:p w:rsidR="009563BE" w:rsidRPr="009563BE" w:rsidRDefault="009563BE" w:rsidP="009563BE">
            <w:pPr>
              <w:kinsoku w:val="0"/>
              <w:overflowPunct w:val="0"/>
              <w:autoSpaceDE w:val="0"/>
              <w:autoSpaceDN w:val="0"/>
              <w:adjustRightInd w:val="0"/>
              <w:ind w:leftChars="100" w:left="240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前項發展評估報告應包含下列事項：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未來五年各年學區內人口數及學齡人口數之評估情形。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與周邊同級學校之距離、公共交通工具路線及班次分布。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校齡、學校建築屋齡及使用年限。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合併後之學校是否須再增建教室及充實設備。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社區或部落文化傳承及經濟發展。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社區對學校之依賴程度。</w:t>
            </w:r>
          </w:p>
          <w:p w:rsid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學校評估未來轉型、合併、合併教學或停辦之方向。</w:t>
            </w:r>
          </w:p>
          <w:p w:rsidR="009563BE" w:rsidRPr="009563BE" w:rsidRDefault="009563BE" w:rsidP="009563BE">
            <w:pPr>
              <w:pStyle w:val="a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ind w:leftChars="0" w:left="826" w:hanging="57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擬定有關學生學籍、教職員權益、校地校舍活化及財物管理之計畫。</w:t>
            </w:r>
          </w:p>
          <w:p w:rsidR="009563BE" w:rsidRPr="009563BE" w:rsidRDefault="009563BE" w:rsidP="009563BE">
            <w:pPr>
              <w:kinsoku w:val="0"/>
              <w:overflowPunct w:val="0"/>
              <w:autoSpaceDE w:val="0"/>
              <w:autoSpaceDN w:val="0"/>
              <w:adjustRightInd w:val="0"/>
              <w:ind w:leftChars="100" w:left="240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本府收到學校發展評估報告後，由本府於進行專案評估及辦理公聽會後，提送桃園市教育審議委員會(以下簡稱教審會)，決議合併或停辦。</w:t>
            </w:r>
          </w:p>
          <w:p w:rsidR="009563BE" w:rsidRPr="007F2D66" w:rsidRDefault="009563BE" w:rsidP="009563BE">
            <w:pPr>
              <w:kinsoku w:val="0"/>
              <w:overflowPunct w:val="0"/>
              <w:autoSpaceDE w:val="0"/>
              <w:autoSpaceDN w:val="0"/>
              <w:adjustRightInd w:val="0"/>
              <w:ind w:leftChars="100" w:left="240" w:firstLineChars="200" w:firstLine="56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63BE">
              <w:rPr>
                <w:rFonts w:ascii="標楷體" w:eastAsia="標楷體" w:hAnsi="標楷體" w:hint="eastAsia"/>
                <w:sz w:val="28"/>
                <w:szCs w:val="28"/>
              </w:rPr>
              <w:t>前項教審會決議合併或停辦，依本準則規定之程序辦理。</w:t>
            </w:r>
          </w:p>
        </w:tc>
        <w:tc>
          <w:tcPr>
            <w:tcW w:w="3253" w:type="dxa"/>
            <w:shd w:val="clear" w:color="auto" w:fill="auto"/>
          </w:tcPr>
          <w:p w:rsidR="009563BE" w:rsidRPr="00C63197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="580" w:hangingChars="207" w:hanging="5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C63197">
              <w:rPr>
                <w:rFonts w:ascii="標楷體" w:eastAsia="標楷體" w:hAnsi="標楷體" w:hint="eastAsia"/>
                <w:sz w:val="28"/>
                <w:szCs w:val="28"/>
              </w:rPr>
              <w:t>進入評估期之要件，及評估期應辦理事項。</w:t>
            </w:r>
          </w:p>
          <w:p w:rsidR="009563BE" w:rsidRPr="00E44FC1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="580" w:hangingChars="207" w:hanging="5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Pr="00C63197">
              <w:rPr>
                <w:rFonts w:ascii="標楷體" w:eastAsia="標楷體" w:hAnsi="標楷體" w:hint="eastAsia"/>
                <w:sz w:val="28"/>
                <w:szCs w:val="28"/>
              </w:rPr>
              <w:t>評估結果如須合併或停辦，仍應依本準則規定程序辦理。</w:t>
            </w:r>
          </w:p>
        </w:tc>
      </w:tr>
      <w:tr w:rsidR="009563BE" w:rsidTr="009563BE">
        <w:tc>
          <w:tcPr>
            <w:tcW w:w="5699" w:type="dxa"/>
            <w:shd w:val="clear" w:color="auto" w:fill="auto"/>
          </w:tcPr>
          <w:p w:rsidR="009563BE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學校之合併或停辦應確保學生就學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益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，學生總人數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低於五十人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者，得採取混齡編班、混齡教學之方式，或將學校委託私人辦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563BE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9563BE" w:rsidRPr="00E44FC1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避免學校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立即面臨合併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或停辦之情形，爰規定得採取混齡編班、混齡教學之方式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，或將學校委託私人辦理。</w:t>
            </w:r>
          </w:p>
        </w:tc>
      </w:tr>
      <w:tr w:rsidR="009563BE" w:rsidTr="009563BE">
        <w:tc>
          <w:tcPr>
            <w:tcW w:w="5699" w:type="dxa"/>
            <w:shd w:val="clear" w:color="auto" w:fill="auto"/>
          </w:tcPr>
          <w:p w:rsidR="009563BE" w:rsidRPr="00670B2A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第四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本辦法自發布日施行。</w:t>
            </w:r>
          </w:p>
        </w:tc>
        <w:tc>
          <w:tcPr>
            <w:tcW w:w="3253" w:type="dxa"/>
            <w:shd w:val="clear" w:color="auto" w:fill="auto"/>
          </w:tcPr>
          <w:p w:rsidR="009563BE" w:rsidRPr="00E44FC1" w:rsidRDefault="009563BE" w:rsidP="00C462F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本辦法施行日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70B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5B09" w:rsidRDefault="00155B09" w:rsidP="00A25844">
      <w:pPr>
        <w:rPr>
          <w:rFonts w:ascii="標楷體" w:eastAsia="標楷體" w:hAnsi="標楷體"/>
          <w:sz w:val="28"/>
          <w:szCs w:val="28"/>
        </w:rPr>
      </w:pPr>
    </w:p>
    <w:sectPr w:rsidR="00155B09" w:rsidSect="004F3DEA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5B" w:rsidRDefault="00FE5D5B" w:rsidP="005E2227">
      <w:r>
        <w:separator/>
      </w:r>
    </w:p>
  </w:endnote>
  <w:endnote w:type="continuationSeparator" w:id="0">
    <w:p w:rsidR="00FE5D5B" w:rsidRDefault="00FE5D5B" w:rsidP="005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5B" w:rsidRDefault="00FE5D5B" w:rsidP="005E2227">
      <w:r>
        <w:separator/>
      </w:r>
    </w:p>
  </w:footnote>
  <w:footnote w:type="continuationSeparator" w:id="0">
    <w:p w:rsidR="00FE5D5B" w:rsidRDefault="00FE5D5B" w:rsidP="005E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892"/>
    <w:multiLevelType w:val="multilevel"/>
    <w:tmpl w:val="9D44C1EE"/>
    <w:lvl w:ilvl="0">
      <w:start w:val="3"/>
      <w:numFmt w:val="bullet"/>
      <w:lvlText w:val="○"/>
      <w:lvlJc w:val="left"/>
      <w:pPr>
        <w:tabs>
          <w:tab w:val="num" w:pos="850"/>
        </w:tabs>
        <w:ind w:left="850" w:hanging="57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27C74109"/>
    <w:multiLevelType w:val="hybridMultilevel"/>
    <w:tmpl w:val="84D2CF52"/>
    <w:lvl w:ilvl="0" w:tplc="0792D4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04D485F"/>
    <w:multiLevelType w:val="hybridMultilevel"/>
    <w:tmpl w:val="4260A7D0"/>
    <w:lvl w:ilvl="0" w:tplc="F0A2FAC6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" w15:restartNumberingAfterBreak="0">
    <w:nsid w:val="3D5062ED"/>
    <w:multiLevelType w:val="hybridMultilevel"/>
    <w:tmpl w:val="D83C36F2"/>
    <w:lvl w:ilvl="0" w:tplc="584CCD52">
      <w:start w:val="3"/>
      <w:numFmt w:val="bullet"/>
      <w:lvlText w:val="○"/>
      <w:lvlJc w:val="left"/>
      <w:pPr>
        <w:tabs>
          <w:tab w:val="num" w:pos="850"/>
        </w:tabs>
        <w:ind w:left="850" w:hanging="57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42EF0BD5"/>
    <w:multiLevelType w:val="hybridMultilevel"/>
    <w:tmpl w:val="5964EB32"/>
    <w:lvl w:ilvl="0" w:tplc="7816853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52"/>
    <w:rsid w:val="00000D15"/>
    <w:rsid w:val="00012E99"/>
    <w:rsid w:val="00036130"/>
    <w:rsid w:val="00043E9C"/>
    <w:rsid w:val="0009598C"/>
    <w:rsid w:val="000A0861"/>
    <w:rsid w:val="000B0B5B"/>
    <w:rsid w:val="000D6B44"/>
    <w:rsid w:val="00114393"/>
    <w:rsid w:val="00120ED6"/>
    <w:rsid w:val="0013725F"/>
    <w:rsid w:val="00155B09"/>
    <w:rsid w:val="001806B8"/>
    <w:rsid w:val="001807C7"/>
    <w:rsid w:val="0018317A"/>
    <w:rsid w:val="00186E65"/>
    <w:rsid w:val="001901AC"/>
    <w:rsid w:val="001914B7"/>
    <w:rsid w:val="001946A9"/>
    <w:rsid w:val="00194B75"/>
    <w:rsid w:val="001B3CD3"/>
    <w:rsid w:val="001D4BE6"/>
    <w:rsid w:val="001E58E5"/>
    <w:rsid w:val="001F4CFD"/>
    <w:rsid w:val="00237D40"/>
    <w:rsid w:val="0025553C"/>
    <w:rsid w:val="002A0EF7"/>
    <w:rsid w:val="002C7429"/>
    <w:rsid w:val="002E4677"/>
    <w:rsid w:val="002F16AD"/>
    <w:rsid w:val="003004FB"/>
    <w:rsid w:val="00325E4D"/>
    <w:rsid w:val="00336FD0"/>
    <w:rsid w:val="00355F9C"/>
    <w:rsid w:val="00361BEB"/>
    <w:rsid w:val="003924A7"/>
    <w:rsid w:val="003D6E52"/>
    <w:rsid w:val="003E3DF4"/>
    <w:rsid w:val="004202FF"/>
    <w:rsid w:val="00421F35"/>
    <w:rsid w:val="00424F1D"/>
    <w:rsid w:val="00437360"/>
    <w:rsid w:val="004455F7"/>
    <w:rsid w:val="00450DED"/>
    <w:rsid w:val="004568C7"/>
    <w:rsid w:val="00475BB5"/>
    <w:rsid w:val="00486EEA"/>
    <w:rsid w:val="00487048"/>
    <w:rsid w:val="004928BB"/>
    <w:rsid w:val="004955B8"/>
    <w:rsid w:val="0049694A"/>
    <w:rsid w:val="004A1B64"/>
    <w:rsid w:val="004A317A"/>
    <w:rsid w:val="004B1B11"/>
    <w:rsid w:val="004C1846"/>
    <w:rsid w:val="004D43FB"/>
    <w:rsid w:val="004E2429"/>
    <w:rsid w:val="004F3DEA"/>
    <w:rsid w:val="004F4DFD"/>
    <w:rsid w:val="00501336"/>
    <w:rsid w:val="00511539"/>
    <w:rsid w:val="0051195C"/>
    <w:rsid w:val="00514AB4"/>
    <w:rsid w:val="00516EB6"/>
    <w:rsid w:val="00520ABC"/>
    <w:rsid w:val="00554843"/>
    <w:rsid w:val="00565858"/>
    <w:rsid w:val="005D31AB"/>
    <w:rsid w:val="005E1377"/>
    <w:rsid w:val="005E2227"/>
    <w:rsid w:val="006228E3"/>
    <w:rsid w:val="00632CE0"/>
    <w:rsid w:val="006348E5"/>
    <w:rsid w:val="0064771E"/>
    <w:rsid w:val="00670B2A"/>
    <w:rsid w:val="00671BCE"/>
    <w:rsid w:val="006856DD"/>
    <w:rsid w:val="006B45D7"/>
    <w:rsid w:val="006D6EF6"/>
    <w:rsid w:val="006E732D"/>
    <w:rsid w:val="007014B6"/>
    <w:rsid w:val="007076E7"/>
    <w:rsid w:val="00731ABF"/>
    <w:rsid w:val="00754571"/>
    <w:rsid w:val="00756A6D"/>
    <w:rsid w:val="007765AC"/>
    <w:rsid w:val="00780121"/>
    <w:rsid w:val="0079529D"/>
    <w:rsid w:val="007C1767"/>
    <w:rsid w:val="007D0675"/>
    <w:rsid w:val="007D19A4"/>
    <w:rsid w:val="007F2D66"/>
    <w:rsid w:val="008022CF"/>
    <w:rsid w:val="00806457"/>
    <w:rsid w:val="00816D23"/>
    <w:rsid w:val="00841B70"/>
    <w:rsid w:val="00866DDE"/>
    <w:rsid w:val="00883C24"/>
    <w:rsid w:val="008843E9"/>
    <w:rsid w:val="008870A2"/>
    <w:rsid w:val="008A56CE"/>
    <w:rsid w:val="008D3EDC"/>
    <w:rsid w:val="008F76E7"/>
    <w:rsid w:val="00911991"/>
    <w:rsid w:val="00947237"/>
    <w:rsid w:val="00955E42"/>
    <w:rsid w:val="009563BE"/>
    <w:rsid w:val="00987D37"/>
    <w:rsid w:val="009971E3"/>
    <w:rsid w:val="009B634F"/>
    <w:rsid w:val="009D0E59"/>
    <w:rsid w:val="00A001F2"/>
    <w:rsid w:val="00A044B9"/>
    <w:rsid w:val="00A1792A"/>
    <w:rsid w:val="00A20FA2"/>
    <w:rsid w:val="00A25844"/>
    <w:rsid w:val="00A41FCD"/>
    <w:rsid w:val="00A460AA"/>
    <w:rsid w:val="00A624E7"/>
    <w:rsid w:val="00A9156D"/>
    <w:rsid w:val="00A921C6"/>
    <w:rsid w:val="00AF7C4D"/>
    <w:rsid w:val="00B326EA"/>
    <w:rsid w:val="00B3634B"/>
    <w:rsid w:val="00B46415"/>
    <w:rsid w:val="00B72A40"/>
    <w:rsid w:val="00B76121"/>
    <w:rsid w:val="00B806E7"/>
    <w:rsid w:val="00B80B47"/>
    <w:rsid w:val="00BA1CF1"/>
    <w:rsid w:val="00BB4DE0"/>
    <w:rsid w:val="00BD354D"/>
    <w:rsid w:val="00BE04E4"/>
    <w:rsid w:val="00BE5641"/>
    <w:rsid w:val="00C229E0"/>
    <w:rsid w:val="00C462FB"/>
    <w:rsid w:val="00C6251C"/>
    <w:rsid w:val="00C63197"/>
    <w:rsid w:val="00C8107A"/>
    <w:rsid w:val="00C918D0"/>
    <w:rsid w:val="00CA4648"/>
    <w:rsid w:val="00CA6E69"/>
    <w:rsid w:val="00CD1587"/>
    <w:rsid w:val="00CD5B3A"/>
    <w:rsid w:val="00CE058F"/>
    <w:rsid w:val="00CF4646"/>
    <w:rsid w:val="00D03DBB"/>
    <w:rsid w:val="00D13FD3"/>
    <w:rsid w:val="00D231FF"/>
    <w:rsid w:val="00D27428"/>
    <w:rsid w:val="00D53C57"/>
    <w:rsid w:val="00D56083"/>
    <w:rsid w:val="00D64FBF"/>
    <w:rsid w:val="00D91A65"/>
    <w:rsid w:val="00DA3752"/>
    <w:rsid w:val="00DA7AE7"/>
    <w:rsid w:val="00DB7EDE"/>
    <w:rsid w:val="00DC2BF0"/>
    <w:rsid w:val="00E0439F"/>
    <w:rsid w:val="00E2223E"/>
    <w:rsid w:val="00E244FC"/>
    <w:rsid w:val="00E44B3D"/>
    <w:rsid w:val="00E44FC1"/>
    <w:rsid w:val="00E83ECD"/>
    <w:rsid w:val="00E8676F"/>
    <w:rsid w:val="00E87114"/>
    <w:rsid w:val="00EA0FB7"/>
    <w:rsid w:val="00EB3E52"/>
    <w:rsid w:val="00EC0FEB"/>
    <w:rsid w:val="00ED74B5"/>
    <w:rsid w:val="00EF6C6D"/>
    <w:rsid w:val="00F07621"/>
    <w:rsid w:val="00F92CA7"/>
    <w:rsid w:val="00FA4611"/>
    <w:rsid w:val="00FB3CBF"/>
    <w:rsid w:val="00FC6DE6"/>
    <w:rsid w:val="00FD090C"/>
    <w:rsid w:val="00FE59E4"/>
    <w:rsid w:val="00FE5D5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9262E"/>
  <w15:chartTrackingRefBased/>
  <w15:docId w15:val="{427CC70C-08D7-42B6-B756-AF87A99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E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E2227"/>
    <w:rPr>
      <w:kern w:val="2"/>
    </w:rPr>
  </w:style>
  <w:style w:type="paragraph" w:styleId="a6">
    <w:name w:val="footer"/>
    <w:basedOn w:val="a"/>
    <w:link w:val="a7"/>
    <w:uiPriority w:val="99"/>
    <w:unhideWhenUsed/>
    <w:rsid w:val="005E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E222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9156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9156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E59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B3C7-D8EC-4B8F-B773-42966456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桃園縣政府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○○○○○○○○○○○○○○○草案</dc:title>
  <dc:subject/>
  <dc:creator>144002</dc:creator>
  <cp:keywords/>
  <cp:lastModifiedBy>婷瑄 薛</cp:lastModifiedBy>
  <cp:revision>2</cp:revision>
  <cp:lastPrinted>2018-12-26T03:29:00Z</cp:lastPrinted>
  <dcterms:created xsi:type="dcterms:W3CDTF">2019-03-19T02:25:00Z</dcterms:created>
  <dcterms:modified xsi:type="dcterms:W3CDTF">2019-03-19T02:25:00Z</dcterms:modified>
</cp:coreProperties>
</file>